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5E57" w14:textId="77777777" w:rsidR="007F4518" w:rsidRPr="00A363B6" w:rsidRDefault="007F4518" w:rsidP="007F4518">
      <w:pPr>
        <w:jc w:val="center"/>
        <w:rPr>
          <w:rFonts w:cs="Arial"/>
          <w:szCs w:val="24"/>
        </w:rPr>
      </w:pPr>
      <w:r w:rsidRPr="00A363B6">
        <w:rPr>
          <w:rFonts w:cs="Arial"/>
          <w:szCs w:val="24"/>
        </w:rPr>
        <w:t>NCUC FORM W-1</w:t>
      </w:r>
    </w:p>
    <w:p w14:paraId="0394EF99" w14:textId="77777777" w:rsidR="007F4518" w:rsidRPr="00A363B6" w:rsidRDefault="007F4518" w:rsidP="007F4518">
      <w:pPr>
        <w:jc w:val="center"/>
        <w:rPr>
          <w:rFonts w:cs="Arial"/>
          <w:szCs w:val="24"/>
        </w:rPr>
      </w:pPr>
      <w:r w:rsidRPr="00A363B6">
        <w:rPr>
          <w:rFonts w:cs="Arial"/>
          <w:szCs w:val="24"/>
        </w:rPr>
        <w:t>RATE CASE INFORMATION REPORT</w:t>
      </w:r>
    </w:p>
    <w:p w14:paraId="03B878B5" w14:textId="77777777" w:rsidR="007F4518" w:rsidRPr="00A363B6" w:rsidRDefault="007F4518" w:rsidP="007F4518">
      <w:pPr>
        <w:jc w:val="center"/>
        <w:rPr>
          <w:rFonts w:cs="Arial"/>
          <w:szCs w:val="24"/>
        </w:rPr>
      </w:pPr>
    </w:p>
    <w:p w14:paraId="56FB6D1A" w14:textId="77777777" w:rsidR="007F4518" w:rsidRPr="00BB6C67" w:rsidRDefault="007F4518" w:rsidP="007F4518">
      <w:pPr>
        <w:pStyle w:val="BodyText"/>
        <w:numPr>
          <w:ilvl w:val="0"/>
          <w:numId w:val="1"/>
        </w:numPr>
        <w:spacing w:after="280"/>
        <w:rPr>
          <w:rFonts w:ascii="Arial" w:hAnsi="Arial" w:cs="Arial"/>
          <w:sz w:val="24"/>
        </w:rPr>
      </w:pPr>
      <w:r w:rsidRPr="00BB6C67">
        <w:rPr>
          <w:rFonts w:ascii="Arial" w:hAnsi="Arial" w:cs="Arial"/>
          <w:sz w:val="24"/>
        </w:rPr>
        <w:t>In comparative form, a total company income statement, and a balance sheet for the test year and the 12-month period immediately preceding the test year.</w:t>
      </w:r>
    </w:p>
    <w:p w14:paraId="069564E0" w14:textId="77777777" w:rsidR="007F4518" w:rsidRPr="00BB6C67" w:rsidRDefault="007F4518" w:rsidP="007F4518">
      <w:pPr>
        <w:pStyle w:val="BodyText"/>
        <w:numPr>
          <w:ilvl w:val="0"/>
          <w:numId w:val="1"/>
        </w:numPr>
        <w:spacing w:after="280"/>
        <w:rPr>
          <w:rFonts w:ascii="Arial" w:hAnsi="Arial" w:cs="Arial"/>
          <w:sz w:val="24"/>
        </w:rPr>
      </w:pPr>
      <w:r w:rsidRPr="00BB6C67">
        <w:rPr>
          <w:rFonts w:ascii="Arial" w:hAnsi="Arial" w:cs="Arial"/>
          <w:sz w:val="24"/>
        </w:rPr>
        <w:t>A trial balance as of the last day of the test year. All income statement accounts should show activity for twelve (12) months showing account number, account title, and amount.  Clearly identify accounts maintained on a total company basis and accounts maintained on a jurisdictional basis (indicate jurisdiction). Show the balance in each control account and all underlying subaccounts per company books.  Any differences between the amounts contained in this item and Item 1 should be reconciled and explained in sufficient detail.</w:t>
      </w:r>
    </w:p>
    <w:p w14:paraId="2C4BA477" w14:textId="77777777" w:rsidR="007F4518" w:rsidRPr="00BB6C67" w:rsidRDefault="007F4518" w:rsidP="007F4518">
      <w:pPr>
        <w:pStyle w:val="BodyText"/>
        <w:numPr>
          <w:ilvl w:val="0"/>
          <w:numId w:val="1"/>
        </w:numPr>
        <w:spacing w:after="280"/>
        <w:ind w:left="1440" w:hanging="1440"/>
        <w:rPr>
          <w:rFonts w:ascii="Arial" w:hAnsi="Arial" w:cs="Arial"/>
          <w:sz w:val="24"/>
        </w:rPr>
      </w:pPr>
      <w:r w:rsidRPr="00BB6C67">
        <w:rPr>
          <w:rFonts w:ascii="Arial" w:hAnsi="Arial" w:cs="Arial"/>
          <w:sz w:val="24"/>
        </w:rPr>
        <w:t>(a)</w:t>
      </w:r>
      <w:r w:rsidRPr="00BB6C67">
        <w:rPr>
          <w:rFonts w:ascii="Arial" w:hAnsi="Arial" w:cs="Arial"/>
          <w:sz w:val="24"/>
        </w:rPr>
        <w:tab/>
        <w:t>The balances of long-term debt, preferred stock, and common equity capital for each month of the test year.</w:t>
      </w:r>
    </w:p>
    <w:p w14:paraId="6CF140D2" w14:textId="77777777" w:rsidR="007F4518" w:rsidRPr="00BB6C67" w:rsidRDefault="007F4518" w:rsidP="007F4518">
      <w:pPr>
        <w:pStyle w:val="BodyText"/>
        <w:numPr>
          <w:ilvl w:val="1"/>
          <w:numId w:val="1"/>
        </w:numPr>
        <w:spacing w:after="280"/>
        <w:ind w:left="1440"/>
        <w:rPr>
          <w:rFonts w:ascii="Arial" w:hAnsi="Arial" w:cs="Arial"/>
          <w:sz w:val="24"/>
        </w:rPr>
      </w:pPr>
      <w:r w:rsidRPr="00BB6C67">
        <w:rPr>
          <w:rFonts w:ascii="Arial" w:hAnsi="Arial" w:cs="Arial"/>
          <w:sz w:val="24"/>
        </w:rPr>
        <w:t>A calculation of the end-of-period long-term debt composite interest and preferred stock costs.  Supporting details underlying calculations should be provided.</w:t>
      </w:r>
    </w:p>
    <w:p w14:paraId="7E509F16" w14:textId="77777777" w:rsidR="007F4518" w:rsidRPr="00BB6C67" w:rsidRDefault="007F4518" w:rsidP="007F4518">
      <w:pPr>
        <w:pStyle w:val="BodyText"/>
        <w:numPr>
          <w:ilvl w:val="1"/>
          <w:numId w:val="1"/>
        </w:numPr>
        <w:spacing w:after="280"/>
        <w:ind w:left="1440"/>
        <w:rPr>
          <w:rFonts w:ascii="Arial" w:hAnsi="Arial" w:cs="Arial"/>
          <w:sz w:val="24"/>
        </w:rPr>
      </w:pPr>
      <w:r w:rsidRPr="00BB6C67">
        <w:rPr>
          <w:rFonts w:ascii="Arial" w:hAnsi="Arial" w:cs="Arial"/>
          <w:sz w:val="24"/>
        </w:rPr>
        <w:t>Calculate the average and end-of-period short-term composite interest cost rates. Supply supporting calculations.</w:t>
      </w:r>
    </w:p>
    <w:p w14:paraId="75F41749" w14:textId="77777777" w:rsidR="007F4518" w:rsidRPr="00BB6C67" w:rsidRDefault="007F4518" w:rsidP="007F4518">
      <w:pPr>
        <w:pStyle w:val="BodyText"/>
        <w:numPr>
          <w:ilvl w:val="1"/>
          <w:numId w:val="1"/>
        </w:numPr>
        <w:spacing w:after="280"/>
        <w:ind w:left="1440"/>
        <w:rPr>
          <w:rFonts w:ascii="Arial" w:hAnsi="Arial" w:cs="Arial"/>
          <w:sz w:val="24"/>
        </w:rPr>
      </w:pPr>
      <w:r w:rsidRPr="00BB6C67">
        <w:rPr>
          <w:rFonts w:ascii="Arial" w:hAnsi="Arial" w:cs="Arial"/>
          <w:sz w:val="24"/>
        </w:rPr>
        <w:t xml:space="preserve">If the water utility is a </w:t>
      </w:r>
      <w:proofErr w:type="gramStart"/>
      <w:r w:rsidRPr="00BB6C67">
        <w:rPr>
          <w:rFonts w:ascii="Arial" w:hAnsi="Arial" w:cs="Arial"/>
          <w:sz w:val="24"/>
        </w:rPr>
        <w:t>wholly-owned</w:t>
      </w:r>
      <w:proofErr w:type="gramEnd"/>
      <w:r w:rsidRPr="00BB6C67">
        <w:rPr>
          <w:rFonts w:ascii="Arial" w:hAnsi="Arial" w:cs="Arial"/>
          <w:sz w:val="24"/>
        </w:rPr>
        <w:t xml:space="preserve"> subsidiary, please provide the information requested in 3(a), (b), and (c) above, for the subsidiary company, the parent company, and the consolidated company.</w:t>
      </w:r>
    </w:p>
    <w:p w14:paraId="302E34F2" w14:textId="77777777" w:rsidR="007F4518" w:rsidRPr="00BB6C67" w:rsidRDefault="007F4518" w:rsidP="007F4518">
      <w:pPr>
        <w:pStyle w:val="BodyText"/>
        <w:numPr>
          <w:ilvl w:val="0"/>
          <w:numId w:val="1"/>
        </w:numPr>
        <w:spacing w:after="280"/>
        <w:rPr>
          <w:rFonts w:ascii="Arial" w:hAnsi="Arial" w:cs="Arial"/>
          <w:sz w:val="24"/>
        </w:rPr>
      </w:pPr>
      <w:r w:rsidRPr="00BB6C67">
        <w:rPr>
          <w:rFonts w:ascii="Arial" w:hAnsi="Arial" w:cs="Arial"/>
          <w:sz w:val="24"/>
        </w:rPr>
        <w:t>List each general office account (asset, reserve, and expense accounts) covering the 12 months of the test year. Show the amount allocated to each jurisdiction and a calculation of the factor used to allocate each amount (to be completed by companies operating in more than one state).</w:t>
      </w:r>
    </w:p>
    <w:p w14:paraId="77B1F144" w14:textId="77777777" w:rsidR="007F4518" w:rsidRPr="00BB6C67" w:rsidRDefault="007F4518" w:rsidP="007F4518">
      <w:pPr>
        <w:pStyle w:val="BodyText"/>
        <w:numPr>
          <w:ilvl w:val="0"/>
          <w:numId w:val="1"/>
        </w:numPr>
        <w:spacing w:after="280"/>
        <w:rPr>
          <w:rFonts w:ascii="Arial" w:hAnsi="Arial" w:cs="Arial"/>
          <w:sz w:val="24"/>
        </w:rPr>
      </w:pPr>
      <w:r w:rsidRPr="00BB6C67">
        <w:rPr>
          <w:rFonts w:ascii="Arial" w:hAnsi="Arial" w:cs="Arial"/>
          <w:sz w:val="24"/>
        </w:rPr>
        <w:t>The following monthly account balances for the test year for total Company and North Carolina:</w:t>
      </w:r>
    </w:p>
    <w:p w14:paraId="0081B73E" w14:textId="77777777" w:rsidR="007F4518" w:rsidRPr="00BB6C67" w:rsidRDefault="007F4518" w:rsidP="007F4518">
      <w:pPr>
        <w:pStyle w:val="BodyText"/>
        <w:numPr>
          <w:ilvl w:val="0"/>
          <w:numId w:val="2"/>
        </w:numPr>
        <w:spacing w:after="280"/>
        <w:rPr>
          <w:rFonts w:ascii="Arial" w:hAnsi="Arial" w:cs="Arial"/>
          <w:sz w:val="24"/>
        </w:rPr>
      </w:pPr>
      <w:r w:rsidRPr="00BB6C67">
        <w:rPr>
          <w:rFonts w:ascii="Arial" w:hAnsi="Arial" w:cs="Arial"/>
          <w:sz w:val="24"/>
        </w:rPr>
        <w:t>Plant in service (Account 101)</w:t>
      </w:r>
    </w:p>
    <w:p w14:paraId="0B5F6A9E" w14:textId="77777777" w:rsidR="007F4518" w:rsidRPr="00BB6C67" w:rsidRDefault="007F4518" w:rsidP="007F4518">
      <w:pPr>
        <w:pStyle w:val="BodyText"/>
        <w:numPr>
          <w:ilvl w:val="0"/>
          <w:numId w:val="2"/>
        </w:numPr>
        <w:spacing w:after="280"/>
        <w:rPr>
          <w:rFonts w:ascii="Arial" w:hAnsi="Arial" w:cs="Arial"/>
          <w:sz w:val="24"/>
        </w:rPr>
      </w:pPr>
      <w:r w:rsidRPr="00BB6C67">
        <w:rPr>
          <w:rFonts w:ascii="Arial" w:hAnsi="Arial" w:cs="Arial"/>
          <w:sz w:val="24"/>
        </w:rPr>
        <w:t>Utility plant leased to others (Account 102)</w:t>
      </w:r>
    </w:p>
    <w:p w14:paraId="6689DF80" w14:textId="77777777" w:rsidR="007F4518" w:rsidRPr="00BB6C67" w:rsidRDefault="007F4518" w:rsidP="007F4518">
      <w:pPr>
        <w:pStyle w:val="BodyText"/>
        <w:numPr>
          <w:ilvl w:val="0"/>
          <w:numId w:val="2"/>
        </w:numPr>
        <w:spacing w:after="280"/>
        <w:rPr>
          <w:rFonts w:ascii="Arial" w:hAnsi="Arial" w:cs="Arial"/>
          <w:sz w:val="24"/>
        </w:rPr>
      </w:pPr>
      <w:r w:rsidRPr="00BB6C67">
        <w:rPr>
          <w:rFonts w:ascii="Arial" w:hAnsi="Arial" w:cs="Arial"/>
          <w:sz w:val="24"/>
        </w:rPr>
        <w:t>Property held for future use (Account 103)</w:t>
      </w:r>
    </w:p>
    <w:p w14:paraId="52502E5E" w14:textId="77777777" w:rsidR="007F4518" w:rsidRPr="00BB6C67" w:rsidRDefault="007F4518" w:rsidP="007F4518">
      <w:pPr>
        <w:pStyle w:val="BodyText"/>
        <w:numPr>
          <w:ilvl w:val="0"/>
          <w:numId w:val="2"/>
        </w:numPr>
        <w:spacing w:after="280"/>
        <w:rPr>
          <w:rFonts w:ascii="Arial" w:hAnsi="Arial" w:cs="Arial"/>
          <w:sz w:val="24"/>
        </w:rPr>
      </w:pPr>
      <w:r w:rsidRPr="00BB6C67">
        <w:rPr>
          <w:rFonts w:ascii="Arial" w:hAnsi="Arial" w:cs="Arial"/>
          <w:sz w:val="24"/>
        </w:rPr>
        <w:t>Utility plant purchased or sold (Account 104)</w:t>
      </w:r>
    </w:p>
    <w:p w14:paraId="690FADDA" w14:textId="77777777" w:rsidR="007F4518" w:rsidRPr="00BB6C67" w:rsidRDefault="007F4518" w:rsidP="007F4518">
      <w:pPr>
        <w:pStyle w:val="BodyText"/>
        <w:numPr>
          <w:ilvl w:val="0"/>
          <w:numId w:val="2"/>
        </w:numPr>
        <w:spacing w:after="280"/>
        <w:rPr>
          <w:rFonts w:ascii="Arial" w:hAnsi="Arial" w:cs="Arial"/>
          <w:sz w:val="24"/>
        </w:rPr>
      </w:pPr>
      <w:r w:rsidRPr="00BB6C67">
        <w:rPr>
          <w:rFonts w:ascii="Arial" w:hAnsi="Arial" w:cs="Arial"/>
          <w:sz w:val="24"/>
        </w:rPr>
        <w:t>Construction work in progress (Account 105)</w:t>
      </w:r>
    </w:p>
    <w:p w14:paraId="198D7F01" w14:textId="77777777" w:rsidR="007F4518" w:rsidRPr="00BB6C67" w:rsidRDefault="007F4518" w:rsidP="007F4518">
      <w:pPr>
        <w:pStyle w:val="BodyText"/>
        <w:numPr>
          <w:ilvl w:val="0"/>
          <w:numId w:val="2"/>
        </w:numPr>
        <w:spacing w:after="280"/>
        <w:rPr>
          <w:rFonts w:ascii="Arial" w:hAnsi="Arial" w:cs="Arial"/>
          <w:sz w:val="24"/>
        </w:rPr>
      </w:pPr>
      <w:r w:rsidRPr="00BB6C67">
        <w:rPr>
          <w:rFonts w:ascii="Arial" w:hAnsi="Arial" w:cs="Arial"/>
          <w:sz w:val="24"/>
        </w:rPr>
        <w:lastRenderedPageBreak/>
        <w:t>Completed construction not classified (Account 106)</w:t>
      </w:r>
    </w:p>
    <w:p w14:paraId="644E1809" w14:textId="77777777" w:rsidR="007F4518" w:rsidRPr="00BB6C67" w:rsidRDefault="007F4518" w:rsidP="007F4518">
      <w:pPr>
        <w:pStyle w:val="BodyText"/>
        <w:numPr>
          <w:ilvl w:val="0"/>
          <w:numId w:val="2"/>
        </w:numPr>
        <w:spacing w:after="280"/>
        <w:rPr>
          <w:rFonts w:ascii="Arial" w:hAnsi="Arial" w:cs="Arial"/>
          <w:sz w:val="24"/>
        </w:rPr>
      </w:pPr>
      <w:r w:rsidRPr="00BB6C67">
        <w:rPr>
          <w:rFonts w:ascii="Arial" w:hAnsi="Arial" w:cs="Arial"/>
          <w:sz w:val="24"/>
        </w:rPr>
        <w:t>Depreciation reserve (Account 108)</w:t>
      </w:r>
    </w:p>
    <w:p w14:paraId="22FD06D6" w14:textId="77777777" w:rsidR="007F4518" w:rsidRPr="00BB6C67" w:rsidRDefault="007F4518" w:rsidP="007F4518">
      <w:pPr>
        <w:pStyle w:val="BodyText"/>
        <w:numPr>
          <w:ilvl w:val="0"/>
          <w:numId w:val="2"/>
        </w:numPr>
        <w:spacing w:after="280"/>
        <w:rPr>
          <w:rFonts w:ascii="Arial" w:hAnsi="Arial" w:cs="Arial"/>
          <w:sz w:val="24"/>
        </w:rPr>
      </w:pPr>
      <w:r w:rsidRPr="00BB6C67">
        <w:rPr>
          <w:rFonts w:ascii="Arial" w:hAnsi="Arial" w:cs="Arial"/>
          <w:sz w:val="24"/>
        </w:rPr>
        <w:t>Plant acquisition adjustment (Account 114)</w:t>
      </w:r>
    </w:p>
    <w:p w14:paraId="5FFBF2FE" w14:textId="77777777" w:rsidR="007F4518" w:rsidRPr="00BB6C67" w:rsidRDefault="007F4518" w:rsidP="007F4518">
      <w:pPr>
        <w:pStyle w:val="BodyText"/>
        <w:numPr>
          <w:ilvl w:val="0"/>
          <w:numId w:val="2"/>
        </w:numPr>
        <w:spacing w:after="280"/>
        <w:rPr>
          <w:rFonts w:ascii="Arial" w:hAnsi="Arial" w:cs="Arial"/>
          <w:sz w:val="24"/>
        </w:rPr>
      </w:pPr>
      <w:r w:rsidRPr="00BB6C67">
        <w:rPr>
          <w:rFonts w:ascii="Arial" w:hAnsi="Arial" w:cs="Arial"/>
          <w:sz w:val="24"/>
        </w:rPr>
        <w:t>Amortization of utility plant acquisition adjustment (Account 115)</w:t>
      </w:r>
    </w:p>
    <w:p w14:paraId="5FA5DD67" w14:textId="77777777" w:rsidR="007F4518" w:rsidRPr="00BB6C67" w:rsidRDefault="007F4518" w:rsidP="007F4518">
      <w:pPr>
        <w:pStyle w:val="BodyText"/>
        <w:numPr>
          <w:ilvl w:val="0"/>
          <w:numId w:val="2"/>
        </w:numPr>
        <w:spacing w:after="280"/>
        <w:rPr>
          <w:rFonts w:ascii="Arial" w:hAnsi="Arial" w:cs="Arial"/>
          <w:sz w:val="24"/>
        </w:rPr>
      </w:pPr>
      <w:r w:rsidRPr="00BB6C67">
        <w:rPr>
          <w:rFonts w:ascii="Arial" w:hAnsi="Arial" w:cs="Arial"/>
          <w:sz w:val="24"/>
        </w:rPr>
        <w:t>Unamortized investment credit</w:t>
      </w:r>
      <w:r>
        <w:rPr>
          <w:rFonts w:ascii="Arial" w:hAnsi="Arial" w:cs="Arial"/>
          <w:sz w:val="24"/>
        </w:rPr>
        <w:t> – </w:t>
      </w:r>
      <w:r w:rsidRPr="00BB6C67">
        <w:rPr>
          <w:rFonts w:ascii="Arial" w:hAnsi="Arial" w:cs="Arial"/>
          <w:sz w:val="24"/>
        </w:rPr>
        <w:t>Pre-Revenue Act of 1971</w:t>
      </w:r>
    </w:p>
    <w:p w14:paraId="792B9E2B" w14:textId="77777777" w:rsidR="007F4518" w:rsidRPr="00BB6C67" w:rsidRDefault="007F4518" w:rsidP="007F4518">
      <w:pPr>
        <w:pStyle w:val="BodyText"/>
        <w:numPr>
          <w:ilvl w:val="0"/>
          <w:numId w:val="2"/>
        </w:numPr>
        <w:spacing w:after="280"/>
        <w:rPr>
          <w:rFonts w:ascii="Arial" w:hAnsi="Arial" w:cs="Arial"/>
          <w:sz w:val="24"/>
        </w:rPr>
      </w:pPr>
      <w:r w:rsidRPr="00BB6C67">
        <w:rPr>
          <w:rFonts w:ascii="Arial" w:hAnsi="Arial" w:cs="Arial"/>
          <w:sz w:val="24"/>
        </w:rPr>
        <w:t>Unamortized investment credit</w:t>
      </w:r>
      <w:r>
        <w:rPr>
          <w:rFonts w:ascii="Arial" w:hAnsi="Arial" w:cs="Arial"/>
          <w:sz w:val="24"/>
        </w:rPr>
        <w:t> – </w:t>
      </w:r>
      <w:r w:rsidRPr="00BB6C67">
        <w:rPr>
          <w:rFonts w:ascii="Arial" w:hAnsi="Arial" w:cs="Arial"/>
          <w:sz w:val="24"/>
        </w:rPr>
        <w:t>Revenue Act of 1971</w:t>
      </w:r>
    </w:p>
    <w:p w14:paraId="195FCB17" w14:textId="77777777" w:rsidR="007F4518" w:rsidRPr="00BB6C67" w:rsidRDefault="007F4518" w:rsidP="007F4518">
      <w:pPr>
        <w:pStyle w:val="BodyText"/>
        <w:numPr>
          <w:ilvl w:val="0"/>
          <w:numId w:val="2"/>
        </w:numPr>
        <w:spacing w:after="280"/>
        <w:rPr>
          <w:rFonts w:ascii="Arial" w:hAnsi="Arial" w:cs="Arial"/>
          <w:sz w:val="24"/>
        </w:rPr>
      </w:pPr>
      <w:r w:rsidRPr="00BB6C67">
        <w:rPr>
          <w:rFonts w:ascii="Arial" w:hAnsi="Arial" w:cs="Arial"/>
          <w:sz w:val="24"/>
        </w:rPr>
        <w:t>Accumulated deferred income taxes</w:t>
      </w:r>
    </w:p>
    <w:p w14:paraId="0AFEE163" w14:textId="77777777" w:rsidR="007F4518" w:rsidRPr="00BB6C67" w:rsidRDefault="007F4518" w:rsidP="007F4518">
      <w:pPr>
        <w:pStyle w:val="BodyText"/>
        <w:numPr>
          <w:ilvl w:val="0"/>
          <w:numId w:val="2"/>
        </w:numPr>
        <w:spacing w:after="280"/>
        <w:rPr>
          <w:rFonts w:ascii="Arial" w:hAnsi="Arial" w:cs="Arial"/>
          <w:sz w:val="24"/>
        </w:rPr>
      </w:pPr>
      <w:r w:rsidRPr="00BB6C67">
        <w:rPr>
          <w:rFonts w:ascii="Arial" w:hAnsi="Arial" w:cs="Arial"/>
          <w:sz w:val="24"/>
        </w:rPr>
        <w:t>Balance in Accounts Payable applicable to amounts included in utility plant in service *</w:t>
      </w:r>
    </w:p>
    <w:p w14:paraId="6F1956FF" w14:textId="77777777" w:rsidR="007F4518" w:rsidRPr="00BB6C67" w:rsidRDefault="007F4518" w:rsidP="007F4518">
      <w:pPr>
        <w:pStyle w:val="BodyText"/>
        <w:numPr>
          <w:ilvl w:val="0"/>
          <w:numId w:val="2"/>
        </w:numPr>
        <w:spacing w:after="280"/>
        <w:rPr>
          <w:rFonts w:ascii="Arial" w:hAnsi="Arial" w:cs="Arial"/>
          <w:sz w:val="24"/>
        </w:rPr>
      </w:pPr>
      <w:r w:rsidRPr="00BB6C67">
        <w:rPr>
          <w:rFonts w:ascii="Arial" w:hAnsi="Arial" w:cs="Arial"/>
          <w:sz w:val="24"/>
        </w:rPr>
        <w:t>Balance in Accounts Payable applicable to amounts included in plant under construction*</w:t>
      </w:r>
    </w:p>
    <w:p w14:paraId="3A2B7224" w14:textId="77777777" w:rsidR="007F4518" w:rsidRPr="00BB6C67" w:rsidRDefault="007F4518" w:rsidP="007F4518">
      <w:pPr>
        <w:pStyle w:val="BodyText"/>
        <w:numPr>
          <w:ilvl w:val="0"/>
          <w:numId w:val="2"/>
        </w:numPr>
        <w:spacing w:after="280"/>
        <w:rPr>
          <w:rFonts w:ascii="Arial" w:hAnsi="Arial" w:cs="Arial"/>
          <w:sz w:val="24"/>
        </w:rPr>
      </w:pPr>
      <w:r w:rsidRPr="00BB6C67">
        <w:rPr>
          <w:rFonts w:ascii="Arial" w:hAnsi="Arial" w:cs="Arial"/>
          <w:sz w:val="24"/>
        </w:rPr>
        <w:t>Short-term borrowing</w:t>
      </w:r>
    </w:p>
    <w:p w14:paraId="2FC6B282" w14:textId="77777777" w:rsidR="007F4518" w:rsidRPr="00BB6C67" w:rsidRDefault="007F4518" w:rsidP="007F4518">
      <w:pPr>
        <w:pStyle w:val="BodyText"/>
        <w:numPr>
          <w:ilvl w:val="0"/>
          <w:numId w:val="2"/>
        </w:numPr>
        <w:spacing w:after="280"/>
        <w:rPr>
          <w:rFonts w:ascii="Arial" w:hAnsi="Arial" w:cs="Arial"/>
          <w:sz w:val="24"/>
        </w:rPr>
      </w:pPr>
      <w:r w:rsidRPr="00BB6C67">
        <w:rPr>
          <w:rFonts w:ascii="Arial" w:hAnsi="Arial" w:cs="Arial"/>
          <w:sz w:val="24"/>
        </w:rPr>
        <w:t>Interest on short-term borrowing (expense)</w:t>
      </w:r>
    </w:p>
    <w:p w14:paraId="74BB007D" w14:textId="77777777" w:rsidR="007F4518" w:rsidRPr="00BB6C67" w:rsidRDefault="007F4518" w:rsidP="007F4518">
      <w:pPr>
        <w:pStyle w:val="BodyText"/>
        <w:numPr>
          <w:ilvl w:val="0"/>
          <w:numId w:val="2"/>
        </w:numPr>
        <w:spacing w:after="280"/>
        <w:rPr>
          <w:rFonts w:ascii="Arial" w:hAnsi="Arial" w:cs="Arial"/>
          <w:sz w:val="24"/>
        </w:rPr>
      </w:pPr>
      <w:r w:rsidRPr="00BB6C67">
        <w:rPr>
          <w:rFonts w:ascii="Arial" w:hAnsi="Arial" w:cs="Arial"/>
          <w:sz w:val="24"/>
        </w:rPr>
        <w:t>Contributions in aid of construction (Account 271)</w:t>
      </w:r>
    </w:p>
    <w:p w14:paraId="450E9E64" w14:textId="77777777" w:rsidR="007F4518" w:rsidRPr="00BB6C67" w:rsidRDefault="007F4518" w:rsidP="007F4518">
      <w:pPr>
        <w:pStyle w:val="BodyText"/>
        <w:numPr>
          <w:ilvl w:val="0"/>
          <w:numId w:val="2"/>
        </w:numPr>
        <w:spacing w:after="280"/>
        <w:rPr>
          <w:rFonts w:ascii="Arial" w:hAnsi="Arial" w:cs="Arial"/>
          <w:sz w:val="24"/>
        </w:rPr>
      </w:pPr>
      <w:r w:rsidRPr="00BB6C67">
        <w:rPr>
          <w:rFonts w:ascii="Arial" w:hAnsi="Arial" w:cs="Arial"/>
          <w:sz w:val="24"/>
        </w:rPr>
        <w:t>Accumulated amortization of CIAC (Account 272)</w:t>
      </w:r>
    </w:p>
    <w:p w14:paraId="5CDF3A38" w14:textId="77777777" w:rsidR="007F4518" w:rsidRPr="00BB6C67" w:rsidRDefault="007F4518" w:rsidP="007F4518">
      <w:pPr>
        <w:pStyle w:val="BodyText"/>
        <w:spacing w:after="280"/>
        <w:ind w:left="720"/>
        <w:rPr>
          <w:rFonts w:ascii="Arial" w:hAnsi="Arial" w:cs="Arial"/>
          <w:sz w:val="24"/>
        </w:rPr>
      </w:pPr>
      <w:r w:rsidRPr="00BB6C67">
        <w:rPr>
          <w:rFonts w:ascii="Arial" w:hAnsi="Arial" w:cs="Arial"/>
          <w:sz w:val="24"/>
        </w:rPr>
        <w:t>*  If actual is not determinable, provide reasonable estimate.</w:t>
      </w:r>
    </w:p>
    <w:p w14:paraId="7AC952A7" w14:textId="77777777" w:rsidR="007F4518" w:rsidRPr="00BB6C67" w:rsidRDefault="007F4518" w:rsidP="007F4518">
      <w:pPr>
        <w:pStyle w:val="BodyText"/>
        <w:numPr>
          <w:ilvl w:val="0"/>
          <w:numId w:val="1"/>
        </w:numPr>
        <w:spacing w:after="280"/>
        <w:rPr>
          <w:rFonts w:ascii="Arial" w:hAnsi="Arial" w:cs="Arial"/>
          <w:sz w:val="24"/>
        </w:rPr>
      </w:pPr>
      <w:r w:rsidRPr="00BB6C67">
        <w:rPr>
          <w:rFonts w:ascii="Arial" w:hAnsi="Arial" w:cs="Arial"/>
          <w:sz w:val="24"/>
        </w:rPr>
        <w:t>A description of the method and frequency of computing and recording interest on customer deposits and the method and frequency of refunding customer deposits.</w:t>
      </w:r>
    </w:p>
    <w:p w14:paraId="1874C87B" w14:textId="77777777" w:rsidR="007F4518" w:rsidRPr="00BB6C67" w:rsidRDefault="007F4518" w:rsidP="007F4518">
      <w:pPr>
        <w:pStyle w:val="BodyText"/>
        <w:numPr>
          <w:ilvl w:val="0"/>
          <w:numId w:val="1"/>
        </w:numPr>
        <w:spacing w:after="280"/>
        <w:rPr>
          <w:rFonts w:ascii="Arial" w:hAnsi="Arial" w:cs="Arial"/>
          <w:sz w:val="24"/>
        </w:rPr>
      </w:pPr>
      <w:r w:rsidRPr="00BB6C67">
        <w:rPr>
          <w:rFonts w:ascii="Arial" w:hAnsi="Arial" w:cs="Arial"/>
          <w:sz w:val="24"/>
        </w:rPr>
        <w:t>The following information for each subdivision or utility system acquired or operated, whether owned or not, since the last rate case:</w:t>
      </w:r>
    </w:p>
    <w:p w14:paraId="533BDB3E" w14:textId="77777777" w:rsidR="007F4518" w:rsidRDefault="007F4518" w:rsidP="007F4518">
      <w:pPr>
        <w:pStyle w:val="BodyText"/>
        <w:numPr>
          <w:ilvl w:val="0"/>
          <w:numId w:val="3"/>
        </w:numPr>
        <w:spacing w:after="280"/>
        <w:rPr>
          <w:rFonts w:ascii="Arial" w:hAnsi="Arial" w:cs="Arial"/>
          <w:sz w:val="24"/>
        </w:rPr>
      </w:pPr>
      <w:r w:rsidRPr="00BB6C67">
        <w:rPr>
          <w:rFonts w:ascii="Arial" w:hAnsi="Arial" w:cs="Arial"/>
          <w:sz w:val="24"/>
        </w:rPr>
        <w:t>Description of system,</w:t>
      </w:r>
    </w:p>
    <w:p w14:paraId="3A56BB15" w14:textId="77777777" w:rsidR="007F4518" w:rsidRPr="00BB6C67" w:rsidRDefault="007F4518" w:rsidP="007F4518">
      <w:pPr>
        <w:pStyle w:val="BodyText"/>
        <w:numPr>
          <w:ilvl w:val="0"/>
          <w:numId w:val="3"/>
        </w:numPr>
        <w:spacing w:after="280"/>
        <w:rPr>
          <w:rFonts w:ascii="Arial" w:hAnsi="Arial" w:cs="Arial"/>
          <w:sz w:val="24"/>
        </w:rPr>
      </w:pPr>
      <w:r w:rsidRPr="00BB6C67">
        <w:rPr>
          <w:rFonts w:ascii="Arial" w:hAnsi="Arial" w:cs="Arial"/>
          <w:sz w:val="24"/>
        </w:rPr>
        <w:t xml:space="preserve">Location, </w:t>
      </w:r>
    </w:p>
    <w:p w14:paraId="2C53DB23" w14:textId="77777777" w:rsidR="007F4518" w:rsidRPr="00BB6C67" w:rsidRDefault="007F4518" w:rsidP="007F4518">
      <w:pPr>
        <w:pStyle w:val="BodyText"/>
        <w:numPr>
          <w:ilvl w:val="0"/>
          <w:numId w:val="3"/>
        </w:numPr>
        <w:spacing w:after="280"/>
        <w:rPr>
          <w:rFonts w:ascii="Arial" w:hAnsi="Arial" w:cs="Arial"/>
          <w:sz w:val="24"/>
        </w:rPr>
      </w:pPr>
      <w:r w:rsidRPr="00BB6C67">
        <w:rPr>
          <w:rFonts w:ascii="Arial" w:hAnsi="Arial" w:cs="Arial"/>
          <w:sz w:val="24"/>
        </w:rPr>
        <w:t xml:space="preserve">Date purchased, </w:t>
      </w:r>
    </w:p>
    <w:p w14:paraId="280AA4A2" w14:textId="77777777" w:rsidR="007F4518" w:rsidRPr="00BB6C67" w:rsidRDefault="007F4518" w:rsidP="007F4518">
      <w:pPr>
        <w:pStyle w:val="BodyText"/>
        <w:numPr>
          <w:ilvl w:val="0"/>
          <w:numId w:val="3"/>
        </w:numPr>
        <w:spacing w:after="280"/>
        <w:rPr>
          <w:rFonts w:ascii="Arial" w:hAnsi="Arial" w:cs="Arial"/>
          <w:sz w:val="24"/>
        </w:rPr>
      </w:pPr>
      <w:r w:rsidRPr="00BB6C67">
        <w:rPr>
          <w:rFonts w:ascii="Arial" w:hAnsi="Arial" w:cs="Arial"/>
          <w:sz w:val="24"/>
        </w:rPr>
        <w:t xml:space="preserve">Cost, </w:t>
      </w:r>
    </w:p>
    <w:p w14:paraId="3B5AA94D" w14:textId="77777777" w:rsidR="007F4518" w:rsidRPr="00BB6C67" w:rsidRDefault="007F4518" w:rsidP="007F4518">
      <w:pPr>
        <w:pStyle w:val="BodyText"/>
        <w:numPr>
          <w:ilvl w:val="0"/>
          <w:numId w:val="3"/>
        </w:numPr>
        <w:spacing w:after="280"/>
        <w:rPr>
          <w:rFonts w:ascii="Arial" w:hAnsi="Arial" w:cs="Arial"/>
          <w:sz w:val="24"/>
        </w:rPr>
      </w:pPr>
      <w:r w:rsidRPr="00BB6C67">
        <w:rPr>
          <w:rFonts w:ascii="Arial" w:hAnsi="Arial" w:cs="Arial"/>
          <w:sz w:val="24"/>
        </w:rPr>
        <w:t xml:space="preserve">Number of customers currently being served, </w:t>
      </w:r>
    </w:p>
    <w:p w14:paraId="201DCFA2" w14:textId="77777777" w:rsidR="007F4518" w:rsidRPr="00BB6C67" w:rsidRDefault="007F4518" w:rsidP="007F4518">
      <w:pPr>
        <w:pStyle w:val="BodyText"/>
        <w:numPr>
          <w:ilvl w:val="0"/>
          <w:numId w:val="3"/>
        </w:numPr>
        <w:spacing w:after="280"/>
        <w:rPr>
          <w:rFonts w:ascii="Arial" w:hAnsi="Arial" w:cs="Arial"/>
          <w:sz w:val="24"/>
        </w:rPr>
      </w:pPr>
      <w:r w:rsidRPr="00BB6C67">
        <w:rPr>
          <w:rFonts w:ascii="Arial" w:hAnsi="Arial" w:cs="Arial"/>
          <w:sz w:val="24"/>
        </w:rPr>
        <w:lastRenderedPageBreak/>
        <w:t xml:space="preserve">Maximum number of customers that can be served by wells in place, </w:t>
      </w:r>
    </w:p>
    <w:p w14:paraId="32B33978" w14:textId="77777777" w:rsidR="007F4518" w:rsidRPr="00BB6C67" w:rsidRDefault="007F4518" w:rsidP="007F4518">
      <w:pPr>
        <w:pStyle w:val="BodyText"/>
        <w:numPr>
          <w:ilvl w:val="0"/>
          <w:numId w:val="3"/>
        </w:numPr>
        <w:spacing w:after="280"/>
        <w:rPr>
          <w:rFonts w:ascii="Arial" w:hAnsi="Arial" w:cs="Arial"/>
          <w:sz w:val="24"/>
        </w:rPr>
      </w:pPr>
      <w:r w:rsidRPr="00BB6C67">
        <w:rPr>
          <w:rFonts w:ascii="Arial" w:hAnsi="Arial" w:cs="Arial"/>
          <w:sz w:val="24"/>
        </w:rPr>
        <w:t xml:space="preserve">Maximum number of customers that can be served by water mains in place, </w:t>
      </w:r>
    </w:p>
    <w:p w14:paraId="20B06C3D" w14:textId="77777777" w:rsidR="007F4518" w:rsidRPr="00F335A8" w:rsidRDefault="007F4518" w:rsidP="007F4518">
      <w:pPr>
        <w:pStyle w:val="BodyText"/>
        <w:numPr>
          <w:ilvl w:val="0"/>
          <w:numId w:val="3"/>
        </w:numPr>
        <w:spacing w:after="280"/>
        <w:rPr>
          <w:rFonts w:ascii="Arial" w:hAnsi="Arial" w:cs="Arial"/>
          <w:spacing w:val="-4"/>
          <w:sz w:val="24"/>
        </w:rPr>
      </w:pPr>
      <w:r w:rsidRPr="00F335A8">
        <w:rPr>
          <w:rFonts w:ascii="Arial" w:hAnsi="Arial" w:cs="Arial"/>
          <w:spacing w:val="-4"/>
          <w:sz w:val="24"/>
        </w:rPr>
        <w:t xml:space="preserve">Maximum number of customers that can be served by storage tanks in place, </w:t>
      </w:r>
    </w:p>
    <w:p w14:paraId="2B352A1E" w14:textId="77777777" w:rsidR="007F4518" w:rsidRPr="007F0916" w:rsidRDefault="007F4518" w:rsidP="007F4518">
      <w:pPr>
        <w:pStyle w:val="BodyText"/>
        <w:numPr>
          <w:ilvl w:val="0"/>
          <w:numId w:val="3"/>
        </w:numPr>
        <w:spacing w:after="280"/>
        <w:rPr>
          <w:rFonts w:ascii="Arial" w:hAnsi="Arial" w:cs="Arial"/>
          <w:sz w:val="24"/>
        </w:rPr>
      </w:pPr>
      <w:r w:rsidRPr="007F0916">
        <w:rPr>
          <w:rFonts w:ascii="Arial" w:hAnsi="Arial" w:cs="Arial"/>
          <w:sz w:val="24"/>
        </w:rPr>
        <w:t>Maximum number of customers that can be served by sewer mains in place,</w:t>
      </w:r>
    </w:p>
    <w:p w14:paraId="319D7F17" w14:textId="77777777" w:rsidR="007F4518" w:rsidRPr="007F0916" w:rsidRDefault="007F4518" w:rsidP="007F4518">
      <w:pPr>
        <w:pStyle w:val="BodyText"/>
        <w:numPr>
          <w:ilvl w:val="0"/>
          <w:numId w:val="3"/>
        </w:numPr>
        <w:spacing w:after="280"/>
        <w:rPr>
          <w:rFonts w:ascii="Arial" w:hAnsi="Arial" w:cs="Arial"/>
          <w:sz w:val="24"/>
        </w:rPr>
      </w:pPr>
      <w:r w:rsidRPr="007F0916">
        <w:rPr>
          <w:rFonts w:ascii="Arial" w:hAnsi="Arial" w:cs="Arial"/>
          <w:sz w:val="24"/>
        </w:rPr>
        <w:t xml:space="preserve">Maximum number of customers that can be served by sewer treatment plant in place, </w:t>
      </w:r>
    </w:p>
    <w:p w14:paraId="0221660F" w14:textId="77777777" w:rsidR="007F4518" w:rsidRPr="007F0916" w:rsidRDefault="007F4518" w:rsidP="007F4518">
      <w:pPr>
        <w:pStyle w:val="BodyText"/>
        <w:numPr>
          <w:ilvl w:val="0"/>
          <w:numId w:val="3"/>
        </w:numPr>
        <w:spacing w:after="280"/>
        <w:rPr>
          <w:rFonts w:ascii="Arial" w:hAnsi="Arial" w:cs="Arial"/>
          <w:sz w:val="24"/>
        </w:rPr>
      </w:pPr>
      <w:r w:rsidRPr="007F0916">
        <w:rPr>
          <w:rFonts w:ascii="Arial" w:hAnsi="Arial" w:cs="Arial"/>
          <w:sz w:val="24"/>
        </w:rPr>
        <w:t xml:space="preserve">State whether owned or managed. </w:t>
      </w:r>
    </w:p>
    <w:p w14:paraId="5654F29D" w14:textId="77777777" w:rsidR="007F4518" w:rsidRPr="007F0916" w:rsidRDefault="007F4518" w:rsidP="007F4518">
      <w:pPr>
        <w:pStyle w:val="BodyText"/>
        <w:numPr>
          <w:ilvl w:val="0"/>
          <w:numId w:val="1"/>
        </w:numPr>
        <w:spacing w:after="280"/>
        <w:ind w:left="1440" w:hanging="1440"/>
        <w:rPr>
          <w:rFonts w:ascii="Arial" w:hAnsi="Arial" w:cs="Arial"/>
          <w:sz w:val="24"/>
        </w:rPr>
      </w:pPr>
      <w:r w:rsidRPr="007F0916">
        <w:rPr>
          <w:rFonts w:ascii="Arial" w:hAnsi="Arial" w:cs="Arial"/>
          <w:sz w:val="24"/>
        </w:rPr>
        <w:t>(a)</w:t>
      </w:r>
      <w:r w:rsidRPr="007F0916">
        <w:rPr>
          <w:rFonts w:ascii="Arial" w:hAnsi="Arial" w:cs="Arial"/>
          <w:sz w:val="24"/>
        </w:rPr>
        <w:tab/>
        <w:t>Schedules in comparative form showing by months for the test year the total company balance in each utility plant and reserve account, or subaccount included in the applicant’s chart of accounts as shown in Format 8.</w:t>
      </w:r>
    </w:p>
    <w:p w14:paraId="13EC4E7A" w14:textId="77777777" w:rsidR="007F4518" w:rsidRPr="007F0916" w:rsidRDefault="007F4518" w:rsidP="007F4518">
      <w:pPr>
        <w:pStyle w:val="BodyText"/>
        <w:numPr>
          <w:ilvl w:val="0"/>
          <w:numId w:val="1"/>
        </w:numPr>
        <w:spacing w:after="280"/>
        <w:ind w:left="1440" w:hanging="1440"/>
        <w:rPr>
          <w:rFonts w:ascii="Arial" w:hAnsi="Arial" w:cs="Arial"/>
          <w:sz w:val="24"/>
        </w:rPr>
      </w:pPr>
      <w:r w:rsidRPr="007F0916">
        <w:rPr>
          <w:rFonts w:ascii="Arial" w:hAnsi="Arial" w:cs="Arial"/>
          <w:sz w:val="24"/>
        </w:rPr>
        <w:t>(a)</w:t>
      </w:r>
      <w:r w:rsidRPr="007F0916">
        <w:rPr>
          <w:rFonts w:ascii="Arial" w:hAnsi="Arial" w:cs="Arial"/>
          <w:sz w:val="24"/>
        </w:rPr>
        <w:tab/>
        <w:t>The journal entries relating to the purchase of utility plant acquired as an operating unit or system by purchase, merger, consolidation, liquidation, or otherwise since the end of the test period in the last rate case.  Also, provide a schedule showing the calculation of the acquisition adjustment at the date of purchase of each item of utility plant, the amortization period, and the unamortized balance at the end of the test year.</w:t>
      </w:r>
    </w:p>
    <w:p w14:paraId="6B8B55D7" w14:textId="77777777" w:rsidR="007F4518" w:rsidRPr="007F0916" w:rsidRDefault="007F4518" w:rsidP="007F4518">
      <w:pPr>
        <w:pStyle w:val="BodyText"/>
        <w:numPr>
          <w:ilvl w:val="1"/>
          <w:numId w:val="1"/>
        </w:numPr>
        <w:spacing w:after="280"/>
        <w:ind w:left="1440"/>
        <w:rPr>
          <w:rFonts w:ascii="Arial" w:hAnsi="Arial" w:cs="Arial"/>
          <w:sz w:val="24"/>
        </w:rPr>
      </w:pPr>
      <w:r w:rsidRPr="007F0916">
        <w:rPr>
          <w:rFonts w:ascii="Arial" w:hAnsi="Arial" w:cs="Arial"/>
          <w:sz w:val="24"/>
        </w:rPr>
        <w:t>A brief explanation of plant acquisition adjustments currently being amortized to utility operations.</w:t>
      </w:r>
    </w:p>
    <w:p w14:paraId="5B6909CC" w14:textId="77777777" w:rsidR="007F4518" w:rsidRPr="007F0916" w:rsidRDefault="007F4518" w:rsidP="007F4518">
      <w:pPr>
        <w:pStyle w:val="BodyText"/>
        <w:numPr>
          <w:ilvl w:val="0"/>
          <w:numId w:val="1"/>
        </w:numPr>
        <w:spacing w:after="280"/>
        <w:ind w:left="1440" w:hanging="1440"/>
        <w:rPr>
          <w:rFonts w:ascii="Arial" w:hAnsi="Arial" w:cs="Arial"/>
          <w:sz w:val="24"/>
        </w:rPr>
      </w:pPr>
      <w:r w:rsidRPr="007F0916">
        <w:rPr>
          <w:rFonts w:ascii="Arial" w:hAnsi="Arial" w:cs="Arial"/>
          <w:sz w:val="24"/>
        </w:rPr>
        <w:t>(a)</w:t>
      </w:r>
      <w:r w:rsidRPr="007F0916">
        <w:rPr>
          <w:rFonts w:ascii="Arial" w:hAnsi="Arial" w:cs="Arial"/>
          <w:sz w:val="24"/>
        </w:rPr>
        <w:tab/>
        <w:t>The detailed workpapers showing calculations supporting all accounting, pro forma, end-of-period, and proposed rate adjustments in the rate case application to revenue, expense, investment, and reserve accounts for the test year and a complete detailed narrative explanation of each adjustment, including the reason why each adjustment is required.  Explain all components used in each calculation.  Index each calculation to the accounting, pro forma, end-of-period, or proposed rate adjustment which it supports.</w:t>
      </w:r>
    </w:p>
    <w:p w14:paraId="67A9B824" w14:textId="77777777" w:rsidR="007F4518" w:rsidRPr="007F0916" w:rsidRDefault="007F4518" w:rsidP="007F4518">
      <w:pPr>
        <w:pStyle w:val="BodyText"/>
        <w:numPr>
          <w:ilvl w:val="1"/>
          <w:numId w:val="1"/>
        </w:numPr>
        <w:spacing w:after="280"/>
        <w:ind w:left="1440"/>
        <w:rPr>
          <w:rFonts w:ascii="Arial" w:hAnsi="Arial" w:cs="Arial"/>
          <w:sz w:val="24"/>
        </w:rPr>
      </w:pPr>
      <w:r w:rsidRPr="007F0916">
        <w:rPr>
          <w:rFonts w:ascii="Arial" w:hAnsi="Arial" w:cs="Arial"/>
          <w:sz w:val="24"/>
        </w:rPr>
        <w:t>The derivation for end-of-period rates by rate class.</w:t>
      </w:r>
    </w:p>
    <w:p w14:paraId="750A1F88" w14:textId="77777777" w:rsidR="007F4518" w:rsidRPr="007F0916" w:rsidRDefault="007F4518" w:rsidP="007F4518">
      <w:pPr>
        <w:pStyle w:val="BodyText"/>
        <w:numPr>
          <w:ilvl w:val="1"/>
          <w:numId w:val="1"/>
        </w:numPr>
        <w:spacing w:after="280"/>
        <w:ind w:left="1440"/>
        <w:rPr>
          <w:rFonts w:ascii="Arial" w:hAnsi="Arial" w:cs="Arial"/>
          <w:sz w:val="24"/>
        </w:rPr>
      </w:pPr>
      <w:r w:rsidRPr="007F0916">
        <w:rPr>
          <w:rFonts w:ascii="Arial" w:hAnsi="Arial" w:cs="Arial"/>
          <w:sz w:val="24"/>
        </w:rPr>
        <w:t>All the necessary data from which growth factors were derived.</w:t>
      </w:r>
    </w:p>
    <w:p w14:paraId="2068982C" w14:textId="77777777" w:rsidR="007F4518" w:rsidRPr="007F0916" w:rsidRDefault="007F4518" w:rsidP="007F4518">
      <w:pPr>
        <w:pStyle w:val="BodyText"/>
        <w:numPr>
          <w:ilvl w:val="1"/>
          <w:numId w:val="1"/>
        </w:numPr>
        <w:spacing w:after="280"/>
        <w:ind w:left="1440"/>
        <w:rPr>
          <w:rFonts w:ascii="Arial" w:hAnsi="Arial" w:cs="Arial"/>
          <w:sz w:val="24"/>
        </w:rPr>
      </w:pPr>
      <w:r w:rsidRPr="007F0916">
        <w:rPr>
          <w:rFonts w:ascii="Arial" w:hAnsi="Arial" w:cs="Arial"/>
          <w:sz w:val="24"/>
        </w:rPr>
        <w:t>The backup data from which annual usage was derived for purposes of generating end-of-period revenues.</w:t>
      </w:r>
    </w:p>
    <w:p w14:paraId="67A29BE2" w14:textId="77777777" w:rsidR="007F4518" w:rsidRPr="00242523" w:rsidRDefault="007F4518" w:rsidP="007F4518">
      <w:pPr>
        <w:pStyle w:val="BodyText"/>
        <w:spacing w:after="280"/>
        <w:ind w:left="1440"/>
        <w:rPr>
          <w:rFonts w:ascii="Arial" w:hAnsi="Arial" w:cs="Arial"/>
          <w:b/>
          <w:bCs/>
          <w:sz w:val="24"/>
        </w:rPr>
      </w:pPr>
      <w:r w:rsidRPr="00242523">
        <w:rPr>
          <w:rFonts w:ascii="Arial" w:hAnsi="Arial" w:cs="Arial"/>
          <w:b/>
          <w:bCs/>
          <w:sz w:val="24"/>
        </w:rPr>
        <w:t>Note: Any workpapers, calculations, and data provided in Item 10 related to a Water and Sewer Investment Plan under N.C.G.S. § 62-</w:t>
      </w:r>
      <w:r w:rsidRPr="00242523">
        <w:rPr>
          <w:rFonts w:ascii="Arial" w:hAnsi="Arial" w:cs="Arial"/>
          <w:b/>
          <w:bCs/>
          <w:sz w:val="24"/>
        </w:rPr>
        <w:lastRenderedPageBreak/>
        <w:t>133.1B should be clearly distinguishable from the filing requirements provided for a general rate case under N.C.G.S. § 62-133.1.</w:t>
      </w:r>
    </w:p>
    <w:p w14:paraId="64432D60" w14:textId="77777777" w:rsidR="007F4518" w:rsidRPr="007F0916" w:rsidRDefault="007F4518" w:rsidP="007F4518">
      <w:pPr>
        <w:pStyle w:val="BodyText"/>
        <w:keepNext/>
        <w:keepLines/>
        <w:numPr>
          <w:ilvl w:val="0"/>
          <w:numId w:val="1"/>
        </w:numPr>
        <w:spacing w:after="280"/>
        <w:ind w:left="1440" w:hanging="1440"/>
        <w:rPr>
          <w:rFonts w:ascii="Arial" w:hAnsi="Arial" w:cs="Arial"/>
          <w:sz w:val="24"/>
        </w:rPr>
      </w:pPr>
      <w:r w:rsidRPr="007F0916">
        <w:rPr>
          <w:rFonts w:ascii="Arial" w:hAnsi="Arial" w:cs="Arial"/>
          <w:sz w:val="24"/>
        </w:rPr>
        <w:t>(a)</w:t>
      </w:r>
      <w:r w:rsidRPr="007F0916">
        <w:rPr>
          <w:rFonts w:ascii="Arial" w:hAnsi="Arial" w:cs="Arial"/>
          <w:sz w:val="24"/>
        </w:rPr>
        <w:tab/>
        <w:t xml:space="preserve">A schedule showing a comparison of the balance in the North Carolina revenue accounts for each month of the test year to the same month of the preceding year for each revenue account or subaccount included in the applicant’s chart of accounts.  Include appropriate footnotes to show the month each rate increase was granted and the month the full increase was recorded in the accounts. </w:t>
      </w:r>
      <w:r w:rsidRPr="00F335A8">
        <w:rPr>
          <w:rFonts w:ascii="Arial" w:hAnsi="Arial" w:cs="Arial"/>
          <w:i/>
          <w:iCs/>
          <w:sz w:val="24"/>
        </w:rPr>
        <w:t>See</w:t>
      </w:r>
      <w:r w:rsidRPr="007F0916">
        <w:rPr>
          <w:rFonts w:ascii="Arial" w:hAnsi="Arial" w:cs="Arial"/>
          <w:sz w:val="24"/>
        </w:rPr>
        <w:t xml:space="preserve"> Format 11.</w:t>
      </w:r>
    </w:p>
    <w:p w14:paraId="0030BAE2" w14:textId="77777777" w:rsidR="007F4518" w:rsidRPr="007F0916" w:rsidRDefault="007F4518" w:rsidP="007F4518">
      <w:pPr>
        <w:pStyle w:val="BodyText"/>
        <w:numPr>
          <w:ilvl w:val="0"/>
          <w:numId w:val="1"/>
        </w:numPr>
        <w:spacing w:after="280"/>
        <w:ind w:left="1440" w:hanging="1440"/>
        <w:rPr>
          <w:rFonts w:ascii="Arial" w:hAnsi="Arial" w:cs="Arial"/>
          <w:sz w:val="24"/>
        </w:rPr>
      </w:pPr>
      <w:r w:rsidRPr="007F0916">
        <w:rPr>
          <w:rFonts w:ascii="Arial" w:hAnsi="Arial" w:cs="Arial"/>
          <w:sz w:val="24"/>
        </w:rPr>
        <w:t>(a)</w:t>
      </w:r>
      <w:r w:rsidRPr="007F0916">
        <w:rPr>
          <w:rFonts w:ascii="Arial" w:hAnsi="Arial" w:cs="Arial"/>
          <w:sz w:val="24"/>
        </w:rPr>
        <w:tab/>
        <w:t xml:space="preserve">A schedule showing a comparison of the balance in the North Carolina operating expense accounts for each month of the test year to the same month of the preceding year for each account or subaccount included in the applicant’s chart of accounts. </w:t>
      </w:r>
      <w:r w:rsidRPr="00F335A8">
        <w:rPr>
          <w:rFonts w:ascii="Arial" w:hAnsi="Arial" w:cs="Arial"/>
          <w:i/>
          <w:iCs/>
          <w:sz w:val="24"/>
        </w:rPr>
        <w:t>See</w:t>
      </w:r>
      <w:r w:rsidRPr="007F0916">
        <w:rPr>
          <w:rFonts w:ascii="Arial" w:hAnsi="Arial" w:cs="Arial"/>
          <w:sz w:val="24"/>
        </w:rPr>
        <w:t xml:space="preserve"> Format 11.</w:t>
      </w:r>
    </w:p>
    <w:p w14:paraId="687E1F01" w14:textId="77777777" w:rsidR="007F4518" w:rsidRPr="007F0916" w:rsidRDefault="007F4518" w:rsidP="007F4518">
      <w:pPr>
        <w:pStyle w:val="BodyText"/>
        <w:numPr>
          <w:ilvl w:val="1"/>
          <w:numId w:val="1"/>
        </w:numPr>
        <w:spacing w:after="280"/>
        <w:ind w:left="1440"/>
        <w:rPr>
          <w:rFonts w:ascii="Arial" w:hAnsi="Arial" w:cs="Arial"/>
          <w:sz w:val="24"/>
        </w:rPr>
      </w:pPr>
      <w:r w:rsidRPr="007F0916">
        <w:rPr>
          <w:rFonts w:ascii="Arial" w:hAnsi="Arial" w:cs="Arial"/>
          <w:sz w:val="24"/>
        </w:rPr>
        <w:t>A schedule in comparative form showing the North Carolina operating expense account balance for the test year and each of the three years preceding the test year.</w:t>
      </w:r>
    </w:p>
    <w:p w14:paraId="49785E54" w14:textId="77777777" w:rsidR="007F4518" w:rsidRPr="007F0916" w:rsidRDefault="007F4518" w:rsidP="007F4518">
      <w:pPr>
        <w:pStyle w:val="BodyText"/>
        <w:numPr>
          <w:ilvl w:val="0"/>
          <w:numId w:val="1"/>
        </w:numPr>
        <w:spacing w:after="280"/>
        <w:rPr>
          <w:rFonts w:ascii="Arial" w:hAnsi="Arial" w:cs="Arial"/>
          <w:sz w:val="24"/>
        </w:rPr>
      </w:pPr>
      <w:r w:rsidRPr="007F0916">
        <w:rPr>
          <w:rFonts w:ascii="Arial" w:hAnsi="Arial" w:cs="Arial"/>
          <w:sz w:val="24"/>
        </w:rPr>
        <w:t>The following tax data for the test year for total company and North Carolina:</w:t>
      </w:r>
    </w:p>
    <w:p w14:paraId="29C79322" w14:textId="77777777" w:rsidR="007F4518" w:rsidRPr="007F0916" w:rsidRDefault="007F4518" w:rsidP="007F4518">
      <w:pPr>
        <w:pStyle w:val="BodyText"/>
        <w:numPr>
          <w:ilvl w:val="0"/>
          <w:numId w:val="4"/>
        </w:numPr>
        <w:spacing w:after="280"/>
        <w:rPr>
          <w:rFonts w:ascii="Arial" w:hAnsi="Arial" w:cs="Arial"/>
          <w:sz w:val="24"/>
        </w:rPr>
      </w:pPr>
      <w:r w:rsidRPr="007F0916">
        <w:rPr>
          <w:rFonts w:ascii="Arial" w:hAnsi="Arial" w:cs="Arial"/>
          <w:sz w:val="24"/>
        </w:rPr>
        <w:t>Income taxes:</w:t>
      </w:r>
    </w:p>
    <w:p w14:paraId="6864584A" w14:textId="77777777" w:rsidR="007F4518" w:rsidRPr="007F0916" w:rsidRDefault="007F4518" w:rsidP="007F4518">
      <w:pPr>
        <w:pStyle w:val="BodyText"/>
        <w:numPr>
          <w:ilvl w:val="1"/>
          <w:numId w:val="4"/>
        </w:numPr>
        <w:spacing w:after="280"/>
        <w:rPr>
          <w:rFonts w:ascii="Arial" w:hAnsi="Arial" w:cs="Arial"/>
          <w:sz w:val="24"/>
        </w:rPr>
      </w:pPr>
      <w:r w:rsidRPr="007F0916">
        <w:rPr>
          <w:rFonts w:ascii="Arial" w:hAnsi="Arial" w:cs="Arial"/>
          <w:sz w:val="24"/>
        </w:rPr>
        <w:t>Reconciliation of book to taxable income and a calculation of the book Federal and state income tax expense for the test year using book taxable income as the starting point.</w:t>
      </w:r>
    </w:p>
    <w:p w14:paraId="6C9C0006" w14:textId="77777777" w:rsidR="007F4518" w:rsidRDefault="007F4518" w:rsidP="007F4518">
      <w:pPr>
        <w:pStyle w:val="BodyText"/>
        <w:numPr>
          <w:ilvl w:val="1"/>
          <w:numId w:val="4"/>
        </w:numPr>
        <w:spacing w:after="280"/>
        <w:rPr>
          <w:rFonts w:ascii="Arial" w:hAnsi="Arial" w:cs="Arial"/>
          <w:sz w:val="24"/>
        </w:rPr>
      </w:pPr>
      <w:r w:rsidRPr="007F0916">
        <w:rPr>
          <w:rFonts w:ascii="Arial" w:hAnsi="Arial" w:cs="Arial"/>
          <w:sz w:val="24"/>
        </w:rPr>
        <w:t>A copy of Federal and state income tax returns for the taxable year ended during the test year including supporting schedules.</w:t>
      </w:r>
    </w:p>
    <w:p w14:paraId="37B9CAA9" w14:textId="77777777" w:rsidR="007F4518" w:rsidRPr="007F0916" w:rsidRDefault="007F4518" w:rsidP="007F4518">
      <w:pPr>
        <w:pStyle w:val="BodyText"/>
        <w:numPr>
          <w:ilvl w:val="1"/>
          <w:numId w:val="4"/>
        </w:numPr>
        <w:spacing w:after="280"/>
        <w:rPr>
          <w:rFonts w:ascii="Arial" w:hAnsi="Arial" w:cs="Arial"/>
          <w:sz w:val="24"/>
        </w:rPr>
      </w:pPr>
      <w:r w:rsidRPr="007F0916">
        <w:rPr>
          <w:rFonts w:ascii="Arial" w:hAnsi="Arial" w:cs="Arial"/>
          <w:sz w:val="24"/>
        </w:rPr>
        <w:t>The quarterly gross receipts tax returns for each quarter during the test year.</w:t>
      </w:r>
    </w:p>
    <w:p w14:paraId="6DA07F32" w14:textId="77777777" w:rsidR="007F4518" w:rsidRPr="007F0916" w:rsidRDefault="007F4518" w:rsidP="007F4518">
      <w:pPr>
        <w:pStyle w:val="BodyText"/>
        <w:numPr>
          <w:ilvl w:val="0"/>
          <w:numId w:val="4"/>
        </w:numPr>
        <w:spacing w:after="280"/>
        <w:rPr>
          <w:rFonts w:ascii="Arial" w:hAnsi="Arial" w:cs="Arial"/>
          <w:sz w:val="24"/>
        </w:rPr>
      </w:pPr>
      <w:r w:rsidRPr="007F0916">
        <w:rPr>
          <w:rFonts w:ascii="Arial" w:hAnsi="Arial" w:cs="Arial"/>
          <w:sz w:val="24"/>
        </w:rPr>
        <w:t>An analysis of North Carolina other operating taxes in the format as shown in Format 13(b) to this request.</w:t>
      </w:r>
    </w:p>
    <w:p w14:paraId="413C9E25" w14:textId="77777777" w:rsidR="007F4518" w:rsidRPr="00F335A8" w:rsidRDefault="007F4518" w:rsidP="007F4518">
      <w:pPr>
        <w:pStyle w:val="BodyText"/>
        <w:numPr>
          <w:ilvl w:val="0"/>
          <w:numId w:val="4"/>
        </w:numPr>
        <w:spacing w:after="280"/>
        <w:rPr>
          <w:rFonts w:ascii="Arial" w:hAnsi="Arial" w:cs="Arial"/>
          <w:spacing w:val="-4"/>
          <w:sz w:val="24"/>
        </w:rPr>
      </w:pPr>
      <w:r w:rsidRPr="00F335A8">
        <w:rPr>
          <w:rFonts w:ascii="Arial" w:hAnsi="Arial" w:cs="Arial"/>
          <w:spacing w:val="-4"/>
          <w:sz w:val="24"/>
        </w:rPr>
        <w:t xml:space="preserve">The calculation of deferred income taxes for the test year. </w:t>
      </w:r>
      <w:r w:rsidRPr="00F335A8">
        <w:rPr>
          <w:rFonts w:ascii="Arial" w:hAnsi="Arial" w:cs="Arial"/>
          <w:i/>
          <w:iCs/>
          <w:spacing w:val="-4"/>
          <w:sz w:val="24"/>
        </w:rPr>
        <w:t>See</w:t>
      </w:r>
      <w:r w:rsidRPr="00F335A8">
        <w:rPr>
          <w:rFonts w:ascii="Arial" w:hAnsi="Arial" w:cs="Arial"/>
          <w:spacing w:val="-4"/>
          <w:sz w:val="24"/>
        </w:rPr>
        <w:t xml:space="preserve"> Format 13(c).</w:t>
      </w:r>
    </w:p>
    <w:p w14:paraId="4D8BCA61" w14:textId="77777777" w:rsidR="007F4518" w:rsidRPr="007F0916" w:rsidRDefault="007F4518" w:rsidP="007F4518">
      <w:pPr>
        <w:pStyle w:val="BodyText"/>
        <w:numPr>
          <w:ilvl w:val="0"/>
          <w:numId w:val="4"/>
        </w:numPr>
        <w:spacing w:after="280"/>
        <w:rPr>
          <w:rFonts w:ascii="Arial" w:hAnsi="Arial" w:cs="Arial"/>
          <w:sz w:val="24"/>
        </w:rPr>
      </w:pPr>
      <w:r w:rsidRPr="007F0916">
        <w:rPr>
          <w:rFonts w:ascii="Arial" w:hAnsi="Arial" w:cs="Arial"/>
          <w:sz w:val="24"/>
        </w:rPr>
        <w:t xml:space="preserve">A reconciliation of beginning and ending test year accumulated deferred income taxes. </w:t>
      </w:r>
      <w:r w:rsidRPr="00F335A8">
        <w:rPr>
          <w:rFonts w:ascii="Arial" w:hAnsi="Arial" w:cs="Arial"/>
          <w:i/>
          <w:iCs/>
          <w:sz w:val="24"/>
        </w:rPr>
        <w:t>See</w:t>
      </w:r>
      <w:r w:rsidRPr="007F0916">
        <w:rPr>
          <w:rFonts w:ascii="Arial" w:hAnsi="Arial" w:cs="Arial"/>
          <w:sz w:val="24"/>
        </w:rPr>
        <w:t xml:space="preserve"> Format 13(d).</w:t>
      </w:r>
    </w:p>
    <w:p w14:paraId="06DFDC62" w14:textId="77777777" w:rsidR="007F4518" w:rsidRPr="007F0916" w:rsidRDefault="007F4518" w:rsidP="007F4518">
      <w:pPr>
        <w:pStyle w:val="BodyText"/>
        <w:numPr>
          <w:ilvl w:val="0"/>
          <w:numId w:val="4"/>
        </w:numPr>
        <w:spacing w:after="280"/>
        <w:rPr>
          <w:rFonts w:ascii="Arial" w:hAnsi="Arial" w:cs="Arial"/>
          <w:sz w:val="24"/>
        </w:rPr>
      </w:pPr>
      <w:r w:rsidRPr="007F0916">
        <w:rPr>
          <w:rFonts w:ascii="Arial" w:hAnsi="Arial" w:cs="Arial"/>
          <w:sz w:val="24"/>
        </w:rPr>
        <w:t>A calculation of investment tax credits for the test year.</w:t>
      </w:r>
    </w:p>
    <w:p w14:paraId="551659B7" w14:textId="77777777" w:rsidR="007F4518" w:rsidRPr="007F0916" w:rsidRDefault="007F4518" w:rsidP="007F4518">
      <w:pPr>
        <w:pStyle w:val="BodyText"/>
        <w:numPr>
          <w:ilvl w:val="0"/>
          <w:numId w:val="1"/>
        </w:numPr>
        <w:spacing w:after="280"/>
        <w:ind w:left="1440" w:hanging="1440"/>
        <w:rPr>
          <w:rFonts w:ascii="Arial" w:hAnsi="Arial" w:cs="Arial"/>
          <w:sz w:val="24"/>
        </w:rPr>
      </w:pPr>
      <w:r w:rsidRPr="007F0916">
        <w:rPr>
          <w:rFonts w:ascii="Arial" w:hAnsi="Arial" w:cs="Arial"/>
          <w:sz w:val="24"/>
        </w:rPr>
        <w:t>(a)</w:t>
      </w:r>
      <w:r w:rsidRPr="007F0916">
        <w:rPr>
          <w:rFonts w:ascii="Arial" w:hAnsi="Arial" w:cs="Arial"/>
          <w:sz w:val="24"/>
        </w:rPr>
        <w:tab/>
        <w:t xml:space="preserve">A statement describing the applicant’s lobbying activities and a schedule showing the name of the individual, his salary, and all company-paid or reimbursed expenses or allowances, and the account charged for all </w:t>
      </w:r>
      <w:r w:rsidRPr="007F0916">
        <w:rPr>
          <w:rFonts w:ascii="Arial" w:hAnsi="Arial" w:cs="Arial"/>
          <w:sz w:val="24"/>
        </w:rPr>
        <w:lastRenderedPageBreak/>
        <w:t>personnel for whom a principal function is that of lobbying, whether it be lobbying on the local, state, or national level.</w:t>
      </w:r>
    </w:p>
    <w:p w14:paraId="557CB192" w14:textId="77777777" w:rsidR="007F4518" w:rsidRPr="007F0916" w:rsidRDefault="007F4518" w:rsidP="007F4518">
      <w:pPr>
        <w:pStyle w:val="BodyText"/>
        <w:numPr>
          <w:ilvl w:val="1"/>
          <w:numId w:val="1"/>
        </w:numPr>
        <w:spacing w:after="280"/>
        <w:ind w:left="1440"/>
        <w:rPr>
          <w:rFonts w:ascii="Arial" w:hAnsi="Arial" w:cs="Arial"/>
          <w:sz w:val="24"/>
        </w:rPr>
      </w:pPr>
      <w:r w:rsidRPr="007F0916">
        <w:rPr>
          <w:rFonts w:ascii="Arial" w:hAnsi="Arial" w:cs="Arial"/>
          <w:sz w:val="24"/>
        </w:rPr>
        <w:t>A schedule showing the following information regarding the applicant’s investments in subsidiaries, joint ventures and, nonutility divisions for the test year and the year preceding the test year with each year shown separately.</w:t>
      </w:r>
    </w:p>
    <w:p w14:paraId="2BB5240D" w14:textId="77777777" w:rsidR="007F4518" w:rsidRPr="007F0916" w:rsidRDefault="007F4518" w:rsidP="007F4518">
      <w:pPr>
        <w:pStyle w:val="BodyText"/>
        <w:numPr>
          <w:ilvl w:val="1"/>
          <w:numId w:val="4"/>
        </w:numPr>
        <w:spacing w:after="280"/>
        <w:rPr>
          <w:rFonts w:ascii="Arial" w:hAnsi="Arial" w:cs="Arial"/>
          <w:sz w:val="24"/>
        </w:rPr>
      </w:pPr>
      <w:r w:rsidRPr="007F0916">
        <w:rPr>
          <w:rFonts w:ascii="Arial" w:hAnsi="Arial" w:cs="Arial"/>
          <w:sz w:val="24"/>
        </w:rPr>
        <w:t xml:space="preserve">Name of subsidiary, joint </w:t>
      </w:r>
      <w:proofErr w:type="gramStart"/>
      <w:r w:rsidRPr="007F0916">
        <w:rPr>
          <w:rFonts w:ascii="Arial" w:hAnsi="Arial" w:cs="Arial"/>
          <w:sz w:val="24"/>
        </w:rPr>
        <w:t>venture</w:t>
      </w:r>
      <w:proofErr w:type="gramEnd"/>
      <w:r w:rsidRPr="007F0916">
        <w:rPr>
          <w:rFonts w:ascii="Arial" w:hAnsi="Arial" w:cs="Arial"/>
          <w:sz w:val="24"/>
        </w:rPr>
        <w:t xml:space="preserve"> or division</w:t>
      </w:r>
    </w:p>
    <w:p w14:paraId="5F34E3C8" w14:textId="77777777" w:rsidR="007F4518" w:rsidRPr="007F0916" w:rsidRDefault="007F4518" w:rsidP="007F4518">
      <w:pPr>
        <w:pStyle w:val="BodyText"/>
        <w:numPr>
          <w:ilvl w:val="1"/>
          <w:numId w:val="4"/>
        </w:numPr>
        <w:spacing w:after="280"/>
        <w:rPr>
          <w:rFonts w:ascii="Arial" w:hAnsi="Arial" w:cs="Arial"/>
          <w:sz w:val="24"/>
        </w:rPr>
      </w:pPr>
      <w:r w:rsidRPr="007F0916">
        <w:rPr>
          <w:rFonts w:ascii="Arial" w:hAnsi="Arial" w:cs="Arial"/>
          <w:sz w:val="24"/>
        </w:rPr>
        <w:t>Date of initial investment</w:t>
      </w:r>
    </w:p>
    <w:p w14:paraId="0B13606D" w14:textId="77777777" w:rsidR="007F4518" w:rsidRPr="007F0916" w:rsidRDefault="007F4518" w:rsidP="007F4518">
      <w:pPr>
        <w:pStyle w:val="BodyText"/>
        <w:numPr>
          <w:ilvl w:val="1"/>
          <w:numId w:val="4"/>
        </w:numPr>
        <w:spacing w:after="280"/>
        <w:rPr>
          <w:rFonts w:ascii="Arial" w:hAnsi="Arial" w:cs="Arial"/>
          <w:sz w:val="24"/>
        </w:rPr>
      </w:pPr>
      <w:r w:rsidRPr="007F0916">
        <w:rPr>
          <w:rFonts w:ascii="Arial" w:hAnsi="Arial" w:cs="Arial"/>
          <w:sz w:val="24"/>
        </w:rPr>
        <w:t>Amount and type of investment made for each of the two (2) years included in this report.</w:t>
      </w:r>
    </w:p>
    <w:p w14:paraId="0166F73D" w14:textId="77777777" w:rsidR="007F4518" w:rsidRPr="007F0916" w:rsidRDefault="007F4518" w:rsidP="007F4518">
      <w:pPr>
        <w:pStyle w:val="BodyText"/>
        <w:numPr>
          <w:ilvl w:val="1"/>
          <w:numId w:val="4"/>
        </w:numPr>
        <w:spacing w:after="280"/>
        <w:rPr>
          <w:rFonts w:ascii="Arial" w:hAnsi="Arial" w:cs="Arial"/>
          <w:sz w:val="24"/>
        </w:rPr>
      </w:pPr>
      <w:r w:rsidRPr="007F0916">
        <w:rPr>
          <w:rFonts w:ascii="Arial" w:hAnsi="Arial" w:cs="Arial"/>
          <w:sz w:val="24"/>
        </w:rPr>
        <w:t>Balance sheet and income statement for the test year and the year preceding the test year. (Where only internal statements are prepared, furnish copies of these.)</w:t>
      </w:r>
    </w:p>
    <w:p w14:paraId="66279721" w14:textId="77777777" w:rsidR="007F4518" w:rsidRPr="007F0916" w:rsidRDefault="007F4518" w:rsidP="007F4518">
      <w:pPr>
        <w:pStyle w:val="BodyText"/>
        <w:numPr>
          <w:ilvl w:val="1"/>
          <w:numId w:val="4"/>
        </w:numPr>
        <w:spacing w:after="280"/>
        <w:rPr>
          <w:rFonts w:ascii="Arial" w:hAnsi="Arial" w:cs="Arial"/>
          <w:sz w:val="24"/>
        </w:rPr>
      </w:pPr>
      <w:r w:rsidRPr="007F0916">
        <w:rPr>
          <w:rFonts w:ascii="Arial" w:hAnsi="Arial" w:cs="Arial"/>
          <w:sz w:val="24"/>
        </w:rPr>
        <w:t>On a separate schedule all dividends or income of any type received by the applicant from its subsidiaries or joint ventures for each of the two (2) year report periods and indicate how this income is reflected in the reports filed with the Commission and the stockholders.</w:t>
      </w:r>
    </w:p>
    <w:p w14:paraId="17DDC122" w14:textId="77777777" w:rsidR="007F4518" w:rsidRPr="007F0916" w:rsidRDefault="007F4518" w:rsidP="007F4518">
      <w:pPr>
        <w:pStyle w:val="BodyText"/>
        <w:numPr>
          <w:ilvl w:val="1"/>
          <w:numId w:val="4"/>
        </w:numPr>
        <w:spacing w:after="280"/>
        <w:rPr>
          <w:rFonts w:ascii="Arial" w:hAnsi="Arial" w:cs="Arial"/>
          <w:sz w:val="24"/>
        </w:rPr>
      </w:pPr>
      <w:r w:rsidRPr="007F0916">
        <w:rPr>
          <w:rFonts w:ascii="Arial" w:hAnsi="Arial" w:cs="Arial"/>
          <w:sz w:val="24"/>
        </w:rPr>
        <w:t xml:space="preserve">Name of officers of the subsidiaries and joint ventures, </w:t>
      </w:r>
      <w:proofErr w:type="gramStart"/>
      <w:r w:rsidRPr="007F0916">
        <w:rPr>
          <w:rFonts w:ascii="Arial" w:hAnsi="Arial" w:cs="Arial"/>
          <w:sz w:val="24"/>
        </w:rPr>
        <w:t>officers</w:t>
      </w:r>
      <w:proofErr w:type="gramEnd"/>
      <w:r w:rsidRPr="007F0916">
        <w:rPr>
          <w:rFonts w:ascii="Arial" w:hAnsi="Arial" w:cs="Arial"/>
          <w:sz w:val="24"/>
        </w:rPr>
        <w:t xml:space="preserve"> annual compensation, and portion of compensation charged to the subsidiary or joint venture.  Indicate the position each officer holds with the applicant and the compensation received from the applicant.</w:t>
      </w:r>
    </w:p>
    <w:p w14:paraId="3146E2C2" w14:textId="77777777" w:rsidR="007F4518" w:rsidRPr="007F0916" w:rsidRDefault="007F4518" w:rsidP="007F4518">
      <w:pPr>
        <w:pStyle w:val="BodyText"/>
        <w:numPr>
          <w:ilvl w:val="1"/>
          <w:numId w:val="1"/>
        </w:numPr>
        <w:spacing w:after="280"/>
        <w:ind w:left="1440"/>
        <w:rPr>
          <w:rFonts w:ascii="Arial" w:hAnsi="Arial" w:cs="Arial"/>
          <w:sz w:val="24"/>
        </w:rPr>
      </w:pPr>
      <w:r w:rsidRPr="007F0916">
        <w:rPr>
          <w:rFonts w:ascii="Arial" w:hAnsi="Arial" w:cs="Arial"/>
          <w:sz w:val="24"/>
        </w:rPr>
        <w:t>A schedule by account of investment, reserves, assets, liabilities, and expenses which are applicable to both utility and nonutility operations. Provide a description of the basis of allocation or assignment of the total amount to utility operations.  Provide copies of workpapers showing the calculation of the factors used to allocate or assign total amounts to utility operations. (</w:t>
      </w:r>
      <w:r w:rsidRPr="00F335A8">
        <w:rPr>
          <w:rFonts w:ascii="Arial" w:hAnsi="Arial" w:cs="Arial"/>
          <w:i/>
          <w:iCs/>
          <w:sz w:val="24"/>
        </w:rPr>
        <w:t>See</w:t>
      </w:r>
      <w:r w:rsidRPr="007F0916">
        <w:rPr>
          <w:rFonts w:ascii="Arial" w:hAnsi="Arial" w:cs="Arial"/>
          <w:sz w:val="24"/>
        </w:rPr>
        <w:t xml:space="preserve"> Format 14c).</w:t>
      </w:r>
    </w:p>
    <w:p w14:paraId="0776092B" w14:textId="77777777" w:rsidR="007F4518" w:rsidRPr="007F0916" w:rsidRDefault="007F4518" w:rsidP="007F4518">
      <w:pPr>
        <w:pStyle w:val="BodyText"/>
        <w:numPr>
          <w:ilvl w:val="0"/>
          <w:numId w:val="1"/>
        </w:numPr>
        <w:spacing w:after="280"/>
        <w:rPr>
          <w:rFonts w:ascii="Arial" w:hAnsi="Arial" w:cs="Arial"/>
          <w:sz w:val="24"/>
        </w:rPr>
      </w:pPr>
      <w:r w:rsidRPr="007F0916">
        <w:rPr>
          <w:rFonts w:ascii="Arial" w:hAnsi="Arial" w:cs="Arial"/>
          <w:sz w:val="24"/>
        </w:rPr>
        <w:t>A detailed analysis of the retained earnings account for the test period and 12</w:t>
      </w:r>
      <w:r>
        <w:rPr>
          <w:rFonts w:ascii="Arial" w:hAnsi="Arial" w:cs="Arial"/>
          <w:sz w:val="24"/>
        </w:rPr>
        <w:noBreakHyphen/>
      </w:r>
      <w:r w:rsidRPr="007F0916">
        <w:rPr>
          <w:rFonts w:ascii="Arial" w:hAnsi="Arial" w:cs="Arial"/>
          <w:sz w:val="24"/>
        </w:rPr>
        <w:t>month period immediately preceding the test period.</w:t>
      </w:r>
    </w:p>
    <w:p w14:paraId="564A5E2F" w14:textId="77777777" w:rsidR="007F4518" w:rsidRPr="007F0916" w:rsidRDefault="007F4518" w:rsidP="007F4518">
      <w:pPr>
        <w:pStyle w:val="BodyText"/>
        <w:numPr>
          <w:ilvl w:val="0"/>
          <w:numId w:val="1"/>
        </w:numPr>
        <w:spacing w:after="280"/>
        <w:rPr>
          <w:rFonts w:ascii="Arial" w:hAnsi="Arial" w:cs="Arial"/>
          <w:sz w:val="24"/>
        </w:rPr>
      </w:pPr>
      <w:r w:rsidRPr="007F0916">
        <w:rPr>
          <w:rFonts w:ascii="Arial" w:hAnsi="Arial" w:cs="Arial"/>
          <w:sz w:val="24"/>
        </w:rPr>
        <w:t>The three (3) most recent annual reports to stockholders and subsequent quarterly reports to stockholders.</w:t>
      </w:r>
    </w:p>
    <w:p w14:paraId="7E0C0750" w14:textId="77777777" w:rsidR="007F4518" w:rsidRPr="00F32731" w:rsidRDefault="007F4518" w:rsidP="007F4518">
      <w:pPr>
        <w:pStyle w:val="BodyText"/>
        <w:numPr>
          <w:ilvl w:val="0"/>
          <w:numId w:val="1"/>
        </w:numPr>
        <w:spacing w:after="280"/>
        <w:rPr>
          <w:rFonts w:ascii="Arial" w:hAnsi="Arial" w:cs="Arial"/>
          <w:sz w:val="24"/>
        </w:rPr>
      </w:pPr>
      <w:r w:rsidRPr="00F32731">
        <w:rPr>
          <w:rFonts w:ascii="Arial" w:hAnsi="Arial" w:cs="Arial"/>
          <w:sz w:val="24"/>
        </w:rPr>
        <w:t>Employee data for the test year in Format 17 to this request.</w:t>
      </w:r>
    </w:p>
    <w:p w14:paraId="2E818AE4" w14:textId="77777777" w:rsidR="007F4518" w:rsidRPr="00F32731" w:rsidRDefault="007F4518" w:rsidP="007F4518">
      <w:pPr>
        <w:pStyle w:val="BodyText"/>
        <w:numPr>
          <w:ilvl w:val="0"/>
          <w:numId w:val="1"/>
        </w:numPr>
        <w:spacing w:after="280"/>
        <w:rPr>
          <w:rFonts w:ascii="Arial" w:hAnsi="Arial" w:cs="Arial"/>
          <w:sz w:val="24"/>
        </w:rPr>
      </w:pPr>
      <w:r w:rsidRPr="00F32731">
        <w:rPr>
          <w:rFonts w:ascii="Arial" w:hAnsi="Arial" w:cs="Arial"/>
          <w:sz w:val="24"/>
        </w:rPr>
        <w:lastRenderedPageBreak/>
        <w:t>The information, as soon as it is known, which would have a material effect on net operating income, rate base, and cost of capital which occurred after the test year and was not incorporated in the filed testimony and exhibits.</w:t>
      </w:r>
    </w:p>
    <w:p w14:paraId="3ABA0600" w14:textId="77777777" w:rsidR="007F4518" w:rsidRPr="00F32731" w:rsidRDefault="007F4518" w:rsidP="007F4518">
      <w:pPr>
        <w:pStyle w:val="BodyText"/>
        <w:numPr>
          <w:ilvl w:val="0"/>
          <w:numId w:val="1"/>
        </w:numPr>
        <w:spacing w:after="280"/>
        <w:rPr>
          <w:rFonts w:ascii="Arial" w:hAnsi="Arial" w:cs="Arial"/>
          <w:sz w:val="24"/>
        </w:rPr>
      </w:pPr>
      <w:r w:rsidRPr="00F32731">
        <w:rPr>
          <w:rFonts w:ascii="Arial" w:hAnsi="Arial" w:cs="Arial"/>
          <w:sz w:val="24"/>
        </w:rPr>
        <w:t>A detailed monthly income statement for each month after the test period including the month in which the hearing ends, as they become available.</w:t>
      </w:r>
    </w:p>
    <w:p w14:paraId="0D84F82F" w14:textId="77777777" w:rsidR="007F4518" w:rsidRPr="00F32731" w:rsidRDefault="007F4518" w:rsidP="007F4518">
      <w:pPr>
        <w:pStyle w:val="BodyText"/>
        <w:numPr>
          <w:ilvl w:val="0"/>
          <w:numId w:val="1"/>
        </w:numPr>
        <w:spacing w:after="280"/>
        <w:rPr>
          <w:rFonts w:ascii="Arial" w:hAnsi="Arial" w:cs="Arial"/>
          <w:sz w:val="24"/>
        </w:rPr>
      </w:pPr>
      <w:r w:rsidRPr="00F32731">
        <w:rPr>
          <w:rFonts w:ascii="Arial" w:hAnsi="Arial" w:cs="Arial"/>
          <w:sz w:val="24"/>
        </w:rPr>
        <w:t>Provide copies of any contracts with developers not already on file with the Commission regarding water or sewer service for new subdivisions or expansions of existing systems.</w:t>
      </w:r>
    </w:p>
    <w:p w14:paraId="4131CFCF" w14:textId="77777777" w:rsidR="007F4518" w:rsidRPr="00F32731" w:rsidRDefault="007F4518" w:rsidP="007F4518">
      <w:pPr>
        <w:pStyle w:val="BodyText"/>
        <w:numPr>
          <w:ilvl w:val="0"/>
          <w:numId w:val="1"/>
        </w:numPr>
        <w:spacing w:after="280"/>
        <w:rPr>
          <w:rFonts w:ascii="Arial" w:hAnsi="Arial" w:cs="Arial"/>
          <w:sz w:val="24"/>
        </w:rPr>
      </w:pPr>
      <w:r w:rsidRPr="00F32731">
        <w:rPr>
          <w:rFonts w:ascii="Arial" w:hAnsi="Arial" w:cs="Arial"/>
          <w:sz w:val="24"/>
        </w:rPr>
        <w:t>A summary by system of customer or connections since last rate case and tap fees or connection fees collected (summary should be year by year).</w:t>
      </w:r>
    </w:p>
    <w:p w14:paraId="2EFDFC89" w14:textId="77777777" w:rsidR="007F4518" w:rsidRPr="00F32731" w:rsidRDefault="007F4518" w:rsidP="007F4518">
      <w:pPr>
        <w:pStyle w:val="BodyText"/>
        <w:numPr>
          <w:ilvl w:val="0"/>
          <w:numId w:val="1"/>
        </w:numPr>
        <w:spacing w:after="280"/>
        <w:rPr>
          <w:rFonts w:ascii="Arial" w:hAnsi="Arial" w:cs="Arial"/>
          <w:sz w:val="24"/>
        </w:rPr>
      </w:pPr>
      <w:r w:rsidRPr="00F32731">
        <w:rPr>
          <w:rFonts w:ascii="Arial" w:hAnsi="Arial" w:cs="Arial"/>
          <w:sz w:val="24"/>
        </w:rPr>
        <w:t>A summary by system of CIAC other than tap fees or connection fees collected since last rate case (summary should be year by year).</w:t>
      </w:r>
    </w:p>
    <w:p w14:paraId="60CDE06B" w14:textId="77777777" w:rsidR="007F4518" w:rsidRDefault="007F4518" w:rsidP="007F4518">
      <w:pPr>
        <w:pStyle w:val="BodyText"/>
        <w:numPr>
          <w:ilvl w:val="0"/>
          <w:numId w:val="1"/>
        </w:numPr>
        <w:spacing w:after="280"/>
        <w:rPr>
          <w:rFonts w:ascii="Arial" w:hAnsi="Arial" w:cs="Arial"/>
          <w:sz w:val="24"/>
        </w:rPr>
      </w:pPr>
      <w:r w:rsidRPr="00F32731">
        <w:rPr>
          <w:rFonts w:ascii="Arial" w:hAnsi="Arial" w:cs="Arial"/>
          <w:sz w:val="24"/>
        </w:rPr>
        <w:t>A year-by-year summary of any reimbursements or payments made to developers for plant serving new customers.</w:t>
      </w:r>
    </w:p>
    <w:p w14:paraId="5527621B" w14:textId="77777777" w:rsidR="007F4518" w:rsidRPr="00F32731" w:rsidRDefault="007F4518" w:rsidP="007F4518">
      <w:pPr>
        <w:pStyle w:val="BodyText"/>
        <w:numPr>
          <w:ilvl w:val="0"/>
          <w:numId w:val="1"/>
        </w:numPr>
        <w:spacing w:after="280"/>
        <w:rPr>
          <w:rFonts w:ascii="Arial" w:hAnsi="Arial" w:cs="Arial"/>
          <w:sz w:val="24"/>
        </w:rPr>
      </w:pPr>
      <w:r w:rsidRPr="00F32731">
        <w:rPr>
          <w:rFonts w:ascii="Arial" w:hAnsi="Arial" w:cs="Arial"/>
          <w:sz w:val="24"/>
        </w:rPr>
        <w:t>An organizational chart showing office and field personnel.</w:t>
      </w:r>
    </w:p>
    <w:p w14:paraId="62EB7B9A" w14:textId="77777777" w:rsidR="007F4518" w:rsidRPr="00F32731" w:rsidRDefault="007F4518" w:rsidP="007F4518">
      <w:pPr>
        <w:pStyle w:val="BodyText"/>
        <w:numPr>
          <w:ilvl w:val="0"/>
          <w:numId w:val="1"/>
        </w:numPr>
        <w:spacing w:after="280"/>
        <w:rPr>
          <w:rFonts w:ascii="Arial" w:hAnsi="Arial" w:cs="Arial"/>
          <w:sz w:val="24"/>
        </w:rPr>
      </w:pPr>
      <w:r w:rsidRPr="00F32731">
        <w:rPr>
          <w:rFonts w:ascii="Arial" w:hAnsi="Arial" w:cs="Arial"/>
          <w:sz w:val="24"/>
        </w:rPr>
        <w:t>A list of the water and/or sewer systems operated by each field operator.</w:t>
      </w:r>
    </w:p>
    <w:p w14:paraId="7EF19BF5" w14:textId="77777777" w:rsidR="007F4518" w:rsidRPr="00F32731" w:rsidRDefault="007F4518" w:rsidP="007F4518">
      <w:pPr>
        <w:pStyle w:val="BodyText"/>
        <w:numPr>
          <w:ilvl w:val="0"/>
          <w:numId w:val="1"/>
        </w:numPr>
        <w:spacing w:after="280"/>
        <w:rPr>
          <w:rFonts w:ascii="Arial" w:hAnsi="Arial" w:cs="Arial"/>
          <w:sz w:val="24"/>
        </w:rPr>
      </w:pPr>
      <w:r w:rsidRPr="00F32731">
        <w:rPr>
          <w:rFonts w:ascii="Arial" w:hAnsi="Arial" w:cs="Arial"/>
          <w:sz w:val="24"/>
        </w:rPr>
        <w:t xml:space="preserve">Provide </w:t>
      </w:r>
      <w:r w:rsidRPr="00F32731">
        <w:rPr>
          <w:rFonts w:ascii="Arial" w:hAnsi="Arial" w:cs="Arial"/>
          <w:color w:val="000000"/>
          <w:sz w:val="24"/>
        </w:rPr>
        <w:t>(a) an individual spreadsheet for each service area, which shows the number of actual customers served for each meter type, and the actual usage for each meter type for each month for the 12-month test period specified in its application and (b) a spreadsheet summarizing the total number of active customers and total usage for each billing type for each month for the 12-month test period specified in the application.</w:t>
      </w:r>
    </w:p>
    <w:p w14:paraId="15F8FE1E" w14:textId="77777777" w:rsidR="007F4518" w:rsidRPr="001223E1" w:rsidRDefault="007F4518" w:rsidP="007F4518">
      <w:pPr>
        <w:pStyle w:val="EndnoteText"/>
        <w:spacing w:after="280"/>
        <w:jc w:val="both"/>
        <w:rPr>
          <w:rFonts w:cs="Arial"/>
          <w:b/>
          <w:bCs/>
          <w:spacing w:val="-2"/>
          <w:kern w:val="24"/>
          <w:sz w:val="24"/>
          <w:szCs w:val="24"/>
        </w:rPr>
      </w:pPr>
      <w:r w:rsidRPr="001223E1">
        <w:rPr>
          <w:rFonts w:cs="Arial"/>
          <w:b/>
          <w:bCs/>
          <w:spacing w:val="-2"/>
          <w:kern w:val="24"/>
          <w:sz w:val="24"/>
          <w:szCs w:val="24"/>
        </w:rPr>
        <w:t>If the utility is requesting a Water and Sewer Investment Plan per N.C.G.S. 62-133.1B, the following additional information shall be provided in addition to the information which the utility is required to file by Commission Rule R1-17A as part of an application for approval of a Water and Sewer Investment Plan:</w:t>
      </w:r>
    </w:p>
    <w:p w14:paraId="0C397EF9" w14:textId="77777777" w:rsidR="007F4518" w:rsidRPr="001223E1" w:rsidRDefault="007F4518" w:rsidP="007F4518">
      <w:pPr>
        <w:pStyle w:val="4thlevel"/>
        <w:tabs>
          <w:tab w:val="clear" w:pos="720"/>
          <w:tab w:val="clear" w:pos="1440"/>
          <w:tab w:val="clear" w:pos="2160"/>
        </w:tabs>
        <w:spacing w:after="280"/>
        <w:ind w:left="0" w:firstLine="0"/>
        <w:rPr>
          <w:rFonts w:ascii="Arial" w:hAnsi="Arial" w:cs="Arial"/>
          <w:sz w:val="24"/>
        </w:rPr>
      </w:pPr>
      <w:r w:rsidRPr="001223E1">
        <w:rPr>
          <w:rFonts w:ascii="Arial" w:hAnsi="Arial" w:cs="Arial"/>
          <w:sz w:val="24"/>
        </w:rPr>
        <w:t>27.</w:t>
      </w:r>
      <w:r w:rsidRPr="001223E1">
        <w:rPr>
          <w:rFonts w:ascii="Arial" w:hAnsi="Arial" w:cs="Arial"/>
          <w:sz w:val="24"/>
        </w:rPr>
        <w:tab/>
        <w:t xml:space="preserve">(a) </w:t>
      </w:r>
      <w:r w:rsidRPr="001223E1">
        <w:rPr>
          <w:rFonts w:ascii="Arial" w:hAnsi="Arial" w:cs="Arial"/>
          <w:sz w:val="24"/>
        </w:rPr>
        <w:tab/>
        <w:t xml:space="preserve">Billing determinants for each Rate Year, including supporting calculations </w:t>
      </w:r>
      <w:r w:rsidRPr="001223E1">
        <w:rPr>
          <w:rFonts w:ascii="Arial" w:hAnsi="Arial" w:cs="Arial"/>
          <w:sz w:val="24"/>
        </w:rPr>
        <w:tab/>
      </w:r>
      <w:r w:rsidRPr="001223E1">
        <w:rPr>
          <w:rFonts w:ascii="Arial" w:hAnsi="Arial" w:cs="Arial"/>
          <w:sz w:val="24"/>
        </w:rPr>
        <w:tab/>
      </w:r>
      <w:r w:rsidRPr="001223E1">
        <w:rPr>
          <w:rFonts w:ascii="Arial" w:hAnsi="Arial" w:cs="Arial"/>
          <w:sz w:val="24"/>
        </w:rPr>
        <w:tab/>
        <w:t>and assumptions for growth and consumption adjustments.</w:t>
      </w:r>
    </w:p>
    <w:p w14:paraId="14C8C12B" w14:textId="77777777" w:rsidR="007F4518" w:rsidRPr="001223E1" w:rsidRDefault="007F4518" w:rsidP="007F4518">
      <w:pPr>
        <w:pStyle w:val="4thlevel"/>
        <w:tabs>
          <w:tab w:val="clear" w:pos="720"/>
          <w:tab w:val="clear" w:pos="1440"/>
          <w:tab w:val="clear" w:pos="2160"/>
        </w:tabs>
        <w:spacing w:after="280"/>
        <w:ind w:left="720" w:firstLine="0"/>
        <w:rPr>
          <w:rFonts w:ascii="Arial" w:hAnsi="Arial" w:cs="Arial"/>
          <w:sz w:val="24"/>
        </w:rPr>
      </w:pPr>
      <w:r w:rsidRPr="001223E1">
        <w:rPr>
          <w:rFonts w:ascii="Arial" w:hAnsi="Arial" w:cs="Arial"/>
          <w:sz w:val="24"/>
        </w:rPr>
        <w:t>(b)</w:t>
      </w:r>
      <w:r w:rsidRPr="001223E1">
        <w:rPr>
          <w:rFonts w:ascii="Arial" w:hAnsi="Arial" w:cs="Arial"/>
          <w:sz w:val="24"/>
        </w:rPr>
        <w:tab/>
        <w:t xml:space="preserve">A detailed description of the proposed rate design, including the reason for </w:t>
      </w:r>
      <w:r w:rsidRPr="001223E1">
        <w:rPr>
          <w:rFonts w:ascii="Arial" w:hAnsi="Arial" w:cs="Arial"/>
          <w:sz w:val="24"/>
        </w:rPr>
        <w:tab/>
        <w:t xml:space="preserve">any variation from the base charges to usage charges ratio the present </w:t>
      </w:r>
      <w:r w:rsidRPr="001223E1">
        <w:rPr>
          <w:rFonts w:ascii="Arial" w:hAnsi="Arial" w:cs="Arial"/>
          <w:sz w:val="24"/>
        </w:rPr>
        <w:tab/>
        <w:t xml:space="preserve">rates(a). </w:t>
      </w:r>
    </w:p>
    <w:p w14:paraId="74A756A0" w14:textId="77777777" w:rsidR="007F4518" w:rsidRPr="001223E1" w:rsidRDefault="007F4518" w:rsidP="007F4518">
      <w:pPr>
        <w:pStyle w:val="BodyText"/>
        <w:spacing w:after="280"/>
        <w:rPr>
          <w:rFonts w:ascii="Arial" w:hAnsi="Arial" w:cs="Arial"/>
          <w:sz w:val="24"/>
        </w:rPr>
      </w:pPr>
      <w:r w:rsidRPr="001223E1">
        <w:rPr>
          <w:rFonts w:ascii="Arial" w:hAnsi="Arial" w:cs="Arial"/>
          <w:sz w:val="24"/>
        </w:rPr>
        <w:t>28.</w:t>
      </w:r>
      <w:r w:rsidRPr="001223E1">
        <w:rPr>
          <w:rFonts w:ascii="Arial" w:hAnsi="Arial" w:cs="Arial"/>
          <w:sz w:val="24"/>
        </w:rPr>
        <w:tab/>
        <w:t>(a)</w:t>
      </w:r>
      <w:r w:rsidRPr="001223E1">
        <w:rPr>
          <w:rFonts w:ascii="Arial" w:hAnsi="Arial" w:cs="Arial"/>
          <w:sz w:val="24"/>
        </w:rPr>
        <w:tab/>
        <w:t xml:space="preserve">Calculations supporting forecasted composite costs of each cost of capital </w:t>
      </w:r>
      <w:r w:rsidRPr="001223E1">
        <w:rPr>
          <w:rFonts w:ascii="Arial" w:hAnsi="Arial" w:cs="Arial"/>
          <w:sz w:val="24"/>
        </w:rPr>
        <w:tab/>
      </w:r>
      <w:r w:rsidRPr="001223E1">
        <w:rPr>
          <w:rFonts w:ascii="Arial" w:hAnsi="Arial" w:cs="Arial"/>
          <w:sz w:val="24"/>
        </w:rPr>
        <w:tab/>
        <w:t>component.</w:t>
      </w:r>
    </w:p>
    <w:p w14:paraId="52B32751" w14:textId="77777777" w:rsidR="007F4518" w:rsidRPr="001223E1" w:rsidRDefault="007F4518" w:rsidP="007F4518">
      <w:pPr>
        <w:pStyle w:val="BodyText"/>
        <w:tabs>
          <w:tab w:val="num" w:pos="1440"/>
        </w:tabs>
        <w:spacing w:after="280"/>
        <w:ind w:left="720"/>
        <w:rPr>
          <w:rFonts w:ascii="Arial" w:hAnsi="Arial" w:cs="Arial"/>
          <w:sz w:val="24"/>
        </w:rPr>
      </w:pPr>
      <w:r w:rsidRPr="001223E1">
        <w:rPr>
          <w:rFonts w:ascii="Arial" w:hAnsi="Arial" w:cs="Arial"/>
          <w:sz w:val="24"/>
        </w:rPr>
        <w:lastRenderedPageBreak/>
        <w:t>(b)</w:t>
      </w:r>
      <w:r w:rsidRPr="001223E1">
        <w:rPr>
          <w:rFonts w:ascii="Arial" w:hAnsi="Arial" w:cs="Arial"/>
          <w:sz w:val="24"/>
        </w:rPr>
        <w:tab/>
        <w:t xml:space="preserve">Calculations supporting forecasted balances of each cost of capital </w:t>
      </w:r>
      <w:r w:rsidRPr="001223E1">
        <w:rPr>
          <w:rFonts w:ascii="Arial" w:hAnsi="Arial" w:cs="Arial"/>
          <w:sz w:val="24"/>
        </w:rPr>
        <w:tab/>
        <w:t>component.</w:t>
      </w:r>
    </w:p>
    <w:p w14:paraId="3DF83D8B" w14:textId="77777777" w:rsidR="007F4518" w:rsidRPr="001223E1" w:rsidRDefault="007F4518" w:rsidP="007F4518">
      <w:pPr>
        <w:pStyle w:val="BodyText"/>
        <w:spacing w:after="280"/>
        <w:ind w:left="720" w:hanging="720"/>
        <w:rPr>
          <w:rFonts w:ascii="Arial" w:hAnsi="Arial" w:cs="Arial"/>
          <w:sz w:val="24"/>
        </w:rPr>
      </w:pPr>
      <w:r w:rsidRPr="001223E1">
        <w:rPr>
          <w:rFonts w:ascii="Arial" w:hAnsi="Arial" w:cs="Arial"/>
          <w:sz w:val="24"/>
        </w:rPr>
        <w:t xml:space="preserve">29. </w:t>
      </w:r>
      <w:r w:rsidRPr="001223E1">
        <w:rPr>
          <w:rFonts w:ascii="Arial" w:hAnsi="Arial" w:cs="Arial"/>
          <w:sz w:val="24"/>
        </w:rPr>
        <w:tab/>
        <w:t>For each performance-based metric authorized in the most recent Plan or proposed in the current application:</w:t>
      </w:r>
    </w:p>
    <w:p w14:paraId="775DE5A5" w14:textId="77777777" w:rsidR="007F4518" w:rsidRPr="001223E1" w:rsidRDefault="007F4518" w:rsidP="007F4518">
      <w:pPr>
        <w:pStyle w:val="BodyText"/>
        <w:spacing w:after="280"/>
        <w:ind w:left="720"/>
        <w:rPr>
          <w:rFonts w:ascii="Arial" w:hAnsi="Arial" w:cs="Arial"/>
          <w:sz w:val="24"/>
        </w:rPr>
      </w:pPr>
      <w:r w:rsidRPr="001223E1">
        <w:rPr>
          <w:rFonts w:ascii="Arial" w:hAnsi="Arial" w:cs="Arial"/>
          <w:sz w:val="24"/>
        </w:rPr>
        <w:t>(a)</w:t>
      </w:r>
      <w:r w:rsidRPr="001223E1">
        <w:rPr>
          <w:rFonts w:ascii="Arial" w:hAnsi="Arial" w:cs="Arial"/>
          <w:sz w:val="24"/>
        </w:rPr>
        <w:tab/>
        <w:t xml:space="preserve">Statement of the category the metric falls within (i.e., operational </w:t>
      </w:r>
      <w:r w:rsidRPr="001223E1">
        <w:rPr>
          <w:rFonts w:ascii="Arial" w:hAnsi="Arial" w:cs="Arial"/>
          <w:sz w:val="24"/>
        </w:rPr>
        <w:tab/>
        <w:t xml:space="preserve">compliance, customer service, service reliability, or workplace health and </w:t>
      </w:r>
      <w:r w:rsidRPr="001223E1">
        <w:rPr>
          <w:rFonts w:ascii="Arial" w:hAnsi="Arial" w:cs="Arial"/>
          <w:sz w:val="24"/>
        </w:rPr>
        <w:tab/>
        <w:t>safety).</w:t>
      </w:r>
    </w:p>
    <w:p w14:paraId="683FD736" w14:textId="77777777" w:rsidR="007F4518" w:rsidRPr="001223E1" w:rsidRDefault="007F4518" w:rsidP="007F4518">
      <w:pPr>
        <w:pStyle w:val="BodyText"/>
        <w:spacing w:after="280"/>
        <w:ind w:left="720"/>
        <w:rPr>
          <w:rFonts w:ascii="Arial" w:hAnsi="Arial" w:cs="Arial"/>
          <w:sz w:val="24"/>
        </w:rPr>
      </w:pPr>
      <w:r w:rsidRPr="001223E1">
        <w:rPr>
          <w:rFonts w:ascii="Arial" w:hAnsi="Arial" w:cs="Arial"/>
          <w:sz w:val="24"/>
        </w:rPr>
        <w:t>(b)</w:t>
      </w:r>
      <w:r w:rsidRPr="001223E1">
        <w:rPr>
          <w:rFonts w:ascii="Arial" w:hAnsi="Arial" w:cs="Arial"/>
          <w:sz w:val="24"/>
        </w:rPr>
        <w:tab/>
        <w:t xml:space="preserve">Explanation of how the metric will ensure the provision of safe, reliable, and </w:t>
      </w:r>
      <w:r w:rsidRPr="001223E1">
        <w:rPr>
          <w:rFonts w:ascii="Arial" w:hAnsi="Arial" w:cs="Arial"/>
          <w:sz w:val="24"/>
        </w:rPr>
        <w:tab/>
        <w:t>cost-effective service by the utility.</w:t>
      </w:r>
    </w:p>
    <w:p w14:paraId="74301E96" w14:textId="77777777" w:rsidR="007F4518" w:rsidRPr="001223E1" w:rsidRDefault="007F4518" w:rsidP="007F4518">
      <w:pPr>
        <w:pStyle w:val="BodyText"/>
        <w:spacing w:after="280"/>
        <w:ind w:left="720"/>
        <w:rPr>
          <w:rFonts w:ascii="Arial" w:hAnsi="Arial" w:cs="Arial"/>
          <w:sz w:val="24"/>
        </w:rPr>
      </w:pPr>
      <w:r w:rsidRPr="001223E1">
        <w:rPr>
          <w:rFonts w:ascii="Arial" w:hAnsi="Arial" w:cs="Arial"/>
          <w:sz w:val="24"/>
        </w:rPr>
        <w:t>(c)</w:t>
      </w:r>
      <w:r w:rsidRPr="001223E1">
        <w:rPr>
          <w:rFonts w:ascii="Arial" w:hAnsi="Arial" w:cs="Arial"/>
          <w:sz w:val="24"/>
        </w:rPr>
        <w:tab/>
        <w:t>Demonstration of the calculation formula for the metric.</w:t>
      </w:r>
    </w:p>
    <w:p w14:paraId="751256E0" w14:textId="77777777" w:rsidR="007F4518" w:rsidRPr="001223E1" w:rsidRDefault="007F4518" w:rsidP="007F4518">
      <w:pPr>
        <w:pStyle w:val="BodyText"/>
        <w:ind w:left="720"/>
        <w:rPr>
          <w:rFonts w:ascii="Arial" w:hAnsi="Arial" w:cs="Arial"/>
          <w:sz w:val="24"/>
        </w:rPr>
      </w:pPr>
      <w:r w:rsidRPr="001223E1">
        <w:rPr>
          <w:rFonts w:ascii="Arial" w:hAnsi="Arial" w:cs="Arial"/>
          <w:sz w:val="24"/>
        </w:rPr>
        <w:t>(d)</w:t>
      </w:r>
      <w:r w:rsidRPr="001223E1">
        <w:rPr>
          <w:rFonts w:ascii="Arial" w:hAnsi="Arial" w:cs="Arial"/>
          <w:sz w:val="24"/>
        </w:rPr>
        <w:tab/>
        <w:t>Results for the Test Year and each of the two prior 12-month periods.</w:t>
      </w:r>
    </w:p>
    <w:p w14:paraId="377ACA33" w14:textId="77777777" w:rsidR="003E5FA1" w:rsidRDefault="003E5FA1"/>
    <w:sectPr w:rsidR="003E5FA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2DEF" w14:textId="77777777" w:rsidR="00543572" w:rsidRDefault="00543572" w:rsidP="00E57F59">
      <w:r>
        <w:separator/>
      </w:r>
    </w:p>
  </w:endnote>
  <w:endnote w:type="continuationSeparator" w:id="0">
    <w:p w14:paraId="7A410B68" w14:textId="77777777" w:rsidR="00543572" w:rsidRDefault="00543572" w:rsidP="00E5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32FD" w14:textId="2B436597" w:rsidR="00E57F59" w:rsidRPr="0048600F" w:rsidRDefault="00E57F59">
    <w:pPr>
      <w:pStyle w:val="Footer"/>
      <w:rPr>
        <w:sz w:val="20"/>
        <w:szCs w:val="20"/>
      </w:rPr>
    </w:pPr>
    <w:r w:rsidRPr="0048600F">
      <w:rPr>
        <w:sz w:val="20"/>
        <w:szCs w:val="20"/>
      </w:rPr>
      <w:t>Adopted June 30, 2022</w:t>
    </w:r>
  </w:p>
  <w:p w14:paraId="539D204E" w14:textId="32A8993C" w:rsidR="00E57F59" w:rsidRPr="0048600F" w:rsidRDefault="00E57F59">
    <w:pPr>
      <w:pStyle w:val="Footer"/>
      <w:rPr>
        <w:sz w:val="20"/>
        <w:szCs w:val="20"/>
      </w:rPr>
    </w:pPr>
    <w:r w:rsidRPr="0048600F">
      <w:rPr>
        <w:sz w:val="20"/>
        <w:szCs w:val="20"/>
      </w:rPr>
      <w:t xml:space="preserve">Docket No. </w:t>
    </w:r>
    <w:r w:rsidR="0048600F" w:rsidRPr="0048600F">
      <w:rPr>
        <w:sz w:val="20"/>
        <w:szCs w:val="20"/>
      </w:rPr>
      <w:t>W-100, Sub 63</w:t>
    </w:r>
  </w:p>
  <w:p w14:paraId="1F05A2DD" w14:textId="77777777" w:rsidR="00E57F59" w:rsidRDefault="00E57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DEBC3" w14:textId="77777777" w:rsidR="00543572" w:rsidRDefault="00543572" w:rsidP="00E57F59">
      <w:r>
        <w:separator/>
      </w:r>
    </w:p>
  </w:footnote>
  <w:footnote w:type="continuationSeparator" w:id="0">
    <w:p w14:paraId="20E2F6E4" w14:textId="77777777" w:rsidR="00543572" w:rsidRDefault="00543572" w:rsidP="00E57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51519"/>
    <w:multiLevelType w:val="hybridMultilevel"/>
    <w:tmpl w:val="6D5A7C54"/>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49C6681F"/>
    <w:multiLevelType w:val="hybridMultilevel"/>
    <w:tmpl w:val="2292B5A0"/>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55D17FB0"/>
    <w:multiLevelType w:val="hybridMultilevel"/>
    <w:tmpl w:val="98F8D578"/>
    <w:lvl w:ilvl="0" w:tplc="FFFFFFFF">
      <w:start w:val="1"/>
      <w:numFmt w:val="decimal"/>
      <w:lvlText w:val="%1."/>
      <w:lvlJc w:val="left"/>
      <w:pPr>
        <w:tabs>
          <w:tab w:val="num" w:pos="720"/>
        </w:tabs>
        <w:ind w:left="720" w:hanging="720"/>
      </w:pPr>
      <w:rPr>
        <w:rFonts w:hint="default"/>
        <w:b w:val="0"/>
        <w:sz w:val="24"/>
        <w:szCs w:val="24"/>
      </w:rPr>
    </w:lvl>
    <w:lvl w:ilvl="1" w:tplc="FFFFFFFF">
      <w:start w:val="2"/>
      <w:numFmt w:val="lowerLetter"/>
      <w:lvlText w:val="(%2)"/>
      <w:lvlJc w:val="left"/>
      <w:pPr>
        <w:tabs>
          <w:tab w:val="num" w:pos="1800"/>
        </w:tabs>
        <w:ind w:left="1800" w:hanging="720"/>
      </w:pPr>
      <w:rPr>
        <w:rFonts w:hint="default"/>
        <w:u w:val="none"/>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F9D79DD"/>
    <w:multiLevelType w:val="hybridMultilevel"/>
    <w:tmpl w:val="F8A6A22C"/>
    <w:lvl w:ilvl="0" w:tplc="FFFFFFFF">
      <w:start w:val="1"/>
      <w:numFmt w:val="low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start w:val="1"/>
      <w:numFmt w:val="lowerLetter"/>
      <w:lvlText w:val="(%3)"/>
      <w:lvlJc w:val="left"/>
      <w:pPr>
        <w:ind w:left="2700" w:hanging="360"/>
      </w:pPr>
      <w:rPr>
        <w:rFonts w:ascii="Arial" w:eastAsia="Times New Roman" w:hAnsi="Arial" w:cs="Arial" w:hint="default"/>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1536885611">
    <w:abstractNumId w:val="2"/>
  </w:num>
  <w:num w:numId="2" w16cid:durableId="1438597748">
    <w:abstractNumId w:val="1"/>
  </w:num>
  <w:num w:numId="3" w16cid:durableId="542517419">
    <w:abstractNumId w:val="0"/>
  </w:num>
  <w:num w:numId="4" w16cid:durableId="1521041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18"/>
    <w:rsid w:val="003E5FA1"/>
    <w:rsid w:val="00401F19"/>
    <w:rsid w:val="0048600F"/>
    <w:rsid w:val="00543572"/>
    <w:rsid w:val="007F4518"/>
    <w:rsid w:val="00CE03D3"/>
    <w:rsid w:val="00E5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5A7F"/>
  <w15:chartTrackingRefBased/>
  <w15:docId w15:val="{B1BA6F86-416F-4C60-98CD-28B5DF00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518"/>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thlevel">
    <w:name w:val="4th level"/>
    <w:basedOn w:val="Normal"/>
    <w:rsid w:val="007F4518"/>
    <w:pPr>
      <w:tabs>
        <w:tab w:val="left" w:pos="720"/>
        <w:tab w:val="left" w:pos="1440"/>
        <w:tab w:val="left" w:pos="2160"/>
      </w:tabs>
      <w:ind w:left="2880" w:hanging="2880"/>
    </w:pPr>
    <w:rPr>
      <w:rFonts w:ascii="Times New Roman" w:eastAsia="Times New Roman" w:hAnsi="Times New Roman" w:cs="Times New Roman"/>
      <w:sz w:val="20"/>
      <w:szCs w:val="24"/>
    </w:rPr>
  </w:style>
  <w:style w:type="paragraph" w:styleId="BodyText">
    <w:name w:val="Body Text"/>
    <w:basedOn w:val="Normal"/>
    <w:link w:val="BodyTextChar"/>
    <w:rsid w:val="007F4518"/>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7F4518"/>
    <w:rPr>
      <w:rFonts w:ascii="Times New Roman" w:eastAsia="Times New Roman" w:hAnsi="Times New Roman" w:cs="Times New Roman"/>
      <w:sz w:val="20"/>
      <w:szCs w:val="24"/>
    </w:rPr>
  </w:style>
  <w:style w:type="paragraph" w:styleId="EndnoteText">
    <w:name w:val="endnote text"/>
    <w:basedOn w:val="Normal"/>
    <w:link w:val="EndnoteTextChar"/>
    <w:uiPriority w:val="99"/>
    <w:unhideWhenUsed/>
    <w:rsid w:val="007F4518"/>
    <w:pPr>
      <w:jc w:val="left"/>
    </w:pPr>
    <w:rPr>
      <w:rFonts w:eastAsia="Times New Roman" w:cs="Times New Roman"/>
      <w:sz w:val="20"/>
      <w:szCs w:val="20"/>
    </w:rPr>
  </w:style>
  <w:style w:type="character" w:customStyle="1" w:styleId="EndnoteTextChar">
    <w:name w:val="Endnote Text Char"/>
    <w:basedOn w:val="DefaultParagraphFont"/>
    <w:link w:val="EndnoteText"/>
    <w:uiPriority w:val="99"/>
    <w:rsid w:val="007F4518"/>
    <w:rPr>
      <w:rFonts w:ascii="Arial" w:eastAsia="Times New Roman" w:hAnsi="Arial" w:cs="Times New Roman"/>
      <w:sz w:val="20"/>
      <w:szCs w:val="20"/>
    </w:rPr>
  </w:style>
  <w:style w:type="paragraph" w:styleId="Header">
    <w:name w:val="header"/>
    <w:basedOn w:val="Normal"/>
    <w:link w:val="HeaderChar"/>
    <w:uiPriority w:val="99"/>
    <w:unhideWhenUsed/>
    <w:rsid w:val="00E57F59"/>
    <w:pPr>
      <w:tabs>
        <w:tab w:val="center" w:pos="4680"/>
        <w:tab w:val="right" w:pos="9360"/>
      </w:tabs>
    </w:pPr>
  </w:style>
  <w:style w:type="character" w:customStyle="1" w:styleId="HeaderChar">
    <w:name w:val="Header Char"/>
    <w:basedOn w:val="DefaultParagraphFont"/>
    <w:link w:val="Header"/>
    <w:uiPriority w:val="99"/>
    <w:rsid w:val="00E57F59"/>
    <w:rPr>
      <w:rFonts w:ascii="Arial" w:hAnsi="Arial"/>
      <w:sz w:val="24"/>
    </w:rPr>
  </w:style>
  <w:style w:type="paragraph" w:styleId="Footer">
    <w:name w:val="footer"/>
    <w:basedOn w:val="Normal"/>
    <w:link w:val="FooterChar"/>
    <w:uiPriority w:val="99"/>
    <w:unhideWhenUsed/>
    <w:rsid w:val="00E57F59"/>
    <w:pPr>
      <w:tabs>
        <w:tab w:val="center" w:pos="4680"/>
        <w:tab w:val="right" w:pos="9360"/>
      </w:tabs>
    </w:pPr>
  </w:style>
  <w:style w:type="character" w:customStyle="1" w:styleId="FooterChar">
    <w:name w:val="Footer Char"/>
    <w:basedOn w:val="DefaultParagraphFont"/>
    <w:link w:val="Footer"/>
    <w:uiPriority w:val="99"/>
    <w:rsid w:val="00E57F5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1768</Words>
  <Characters>10079</Characters>
  <Application>Microsoft Office Word</Application>
  <DocSecurity>4</DocSecurity>
  <Lines>83</Lines>
  <Paragraphs>23</Paragraphs>
  <ScaleCrop>false</ScaleCrop>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Fennell, Heather</dc:creator>
  <cp:keywords/>
  <dc:description/>
  <cp:lastModifiedBy>Morales, John</cp:lastModifiedBy>
  <cp:revision>2</cp:revision>
  <dcterms:created xsi:type="dcterms:W3CDTF">2022-07-01T12:54:00Z</dcterms:created>
  <dcterms:modified xsi:type="dcterms:W3CDTF">2022-07-01T12:54:00Z</dcterms:modified>
</cp:coreProperties>
</file>